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CD7B" w14:textId="77777777" w:rsidR="00B1348C" w:rsidRPr="00401EA3" w:rsidRDefault="005C28D5">
      <w:pPr>
        <w:jc w:val="center"/>
      </w:pPr>
      <w:bookmarkStart w:id="0" w:name="page1"/>
      <w:bookmarkEnd w:id="0"/>
      <w:r w:rsidRPr="00401EA3">
        <w:rPr>
          <w:rFonts w:eastAsia="Times New Roman"/>
          <w:b/>
          <w:bCs/>
        </w:rPr>
        <w:t>TÜRK HAVA KURUMU ÜNİVERSİTESİ</w:t>
      </w:r>
    </w:p>
    <w:p w14:paraId="16AD9924" w14:textId="77777777" w:rsidR="00B1348C" w:rsidRPr="00401EA3" w:rsidRDefault="00B1348C">
      <w:pPr>
        <w:spacing w:line="82" w:lineRule="exact"/>
      </w:pPr>
    </w:p>
    <w:p w14:paraId="1CD8A910" w14:textId="77777777" w:rsidR="00B1348C" w:rsidRPr="00401EA3" w:rsidRDefault="005C28D5">
      <w:pPr>
        <w:jc w:val="center"/>
      </w:pPr>
      <w:r w:rsidRPr="00401EA3">
        <w:rPr>
          <w:rFonts w:eastAsia="Times New Roman"/>
          <w:b/>
          <w:bCs/>
        </w:rPr>
        <w:t>SEYAHAT YÖNERGESİ</w:t>
      </w:r>
    </w:p>
    <w:p w14:paraId="3EDA7A05" w14:textId="77777777" w:rsidR="00B1348C" w:rsidRPr="00401EA3" w:rsidRDefault="00B1348C">
      <w:pPr>
        <w:spacing w:line="200" w:lineRule="exact"/>
      </w:pPr>
    </w:p>
    <w:p w14:paraId="5E87D5ED" w14:textId="77777777" w:rsidR="00B1348C" w:rsidRPr="00401EA3" w:rsidRDefault="00B1348C">
      <w:pPr>
        <w:spacing w:line="242" w:lineRule="exact"/>
      </w:pPr>
    </w:p>
    <w:p w14:paraId="1C26C336" w14:textId="77777777" w:rsidR="00B1348C" w:rsidRPr="00401EA3" w:rsidRDefault="005C28D5">
      <w:pPr>
        <w:jc w:val="center"/>
      </w:pPr>
      <w:r w:rsidRPr="00401EA3">
        <w:rPr>
          <w:rFonts w:eastAsia="Times New Roman"/>
          <w:b/>
          <w:bCs/>
        </w:rPr>
        <w:t>BİRİNCİ BÖLÜM</w:t>
      </w:r>
    </w:p>
    <w:p w14:paraId="161BA77E" w14:textId="77777777" w:rsidR="00B1348C" w:rsidRPr="00401EA3" w:rsidRDefault="00B1348C">
      <w:pPr>
        <w:spacing w:line="108" w:lineRule="exact"/>
      </w:pPr>
    </w:p>
    <w:p w14:paraId="3DF53B14" w14:textId="77777777" w:rsidR="00B1348C" w:rsidRPr="00401EA3" w:rsidRDefault="005C28D5">
      <w:pPr>
        <w:jc w:val="center"/>
      </w:pPr>
      <w:r w:rsidRPr="00401EA3">
        <w:rPr>
          <w:rFonts w:eastAsia="Times New Roman"/>
          <w:b/>
          <w:bCs/>
        </w:rPr>
        <w:t>Amaç, Kapsam, Dayanak ve Tanımlar</w:t>
      </w:r>
    </w:p>
    <w:p w14:paraId="03E851D9" w14:textId="77777777" w:rsidR="00B1348C" w:rsidRPr="00401EA3" w:rsidRDefault="00B1348C">
      <w:pPr>
        <w:spacing w:line="237" w:lineRule="exact"/>
      </w:pPr>
    </w:p>
    <w:p w14:paraId="0298B4AC" w14:textId="77777777" w:rsidR="00B1348C" w:rsidRPr="00401EA3" w:rsidRDefault="005C28D5">
      <w:pPr>
        <w:ind w:left="720"/>
      </w:pPr>
      <w:r w:rsidRPr="00401EA3">
        <w:rPr>
          <w:rFonts w:eastAsia="Times New Roman"/>
          <w:b/>
          <w:bCs/>
        </w:rPr>
        <w:t>Amaç</w:t>
      </w:r>
    </w:p>
    <w:p w14:paraId="3757DEDC" w14:textId="77777777" w:rsidR="00B1348C" w:rsidRPr="00401EA3" w:rsidRDefault="00B1348C">
      <w:pPr>
        <w:spacing w:line="96" w:lineRule="exact"/>
      </w:pPr>
    </w:p>
    <w:p w14:paraId="410D767D" w14:textId="77777777" w:rsidR="00B1348C" w:rsidRPr="00401EA3" w:rsidRDefault="005C28D5">
      <w:pPr>
        <w:spacing w:line="264" w:lineRule="auto"/>
        <w:ind w:firstLine="698"/>
      </w:pPr>
      <w:r w:rsidRPr="00401EA3">
        <w:rPr>
          <w:rFonts w:eastAsia="Times New Roman"/>
          <w:b/>
          <w:bCs/>
        </w:rPr>
        <w:t xml:space="preserve">MADDE 1 – </w:t>
      </w:r>
      <w:r w:rsidRPr="00401EA3">
        <w:rPr>
          <w:rFonts w:eastAsia="Times New Roman"/>
        </w:rPr>
        <w:t>(1) Bu Yönergenin amacı, yurt içine ve yurt dışına yapılacak seyahatler</w:t>
      </w:r>
      <w:r w:rsidRPr="00401EA3">
        <w:rPr>
          <w:rFonts w:eastAsia="Times New Roman"/>
          <w:b/>
          <w:bCs/>
        </w:rPr>
        <w:t xml:space="preserve"> </w:t>
      </w:r>
      <w:r w:rsidRPr="00401EA3">
        <w:rPr>
          <w:rFonts w:eastAsia="Times New Roman"/>
        </w:rPr>
        <w:t>için ödenecek harcama bedelleri ve usullerini düzenlemektir.</w:t>
      </w:r>
    </w:p>
    <w:p w14:paraId="3C877EB7" w14:textId="77777777" w:rsidR="00B1348C" w:rsidRPr="00401EA3" w:rsidRDefault="00B1348C">
      <w:pPr>
        <w:spacing w:line="31" w:lineRule="exact"/>
      </w:pPr>
    </w:p>
    <w:p w14:paraId="3514FC23" w14:textId="77777777" w:rsidR="00B1348C" w:rsidRPr="00401EA3" w:rsidRDefault="005C28D5">
      <w:pPr>
        <w:ind w:left="720"/>
      </w:pPr>
      <w:r w:rsidRPr="00401EA3">
        <w:rPr>
          <w:rFonts w:eastAsia="Times New Roman"/>
          <w:b/>
          <w:bCs/>
        </w:rPr>
        <w:t>Kapsam</w:t>
      </w:r>
    </w:p>
    <w:p w14:paraId="01199366" w14:textId="77777777" w:rsidR="00B1348C" w:rsidRPr="00401EA3" w:rsidRDefault="00B1348C">
      <w:pPr>
        <w:spacing w:line="99" w:lineRule="exact"/>
      </w:pPr>
    </w:p>
    <w:p w14:paraId="4D386ADF" w14:textId="77777777" w:rsidR="00B1348C" w:rsidRPr="00401EA3" w:rsidRDefault="005C28D5">
      <w:pPr>
        <w:spacing w:line="264" w:lineRule="auto"/>
        <w:ind w:firstLine="698"/>
      </w:pPr>
      <w:r w:rsidRPr="00401EA3">
        <w:rPr>
          <w:rFonts w:eastAsia="Times New Roman"/>
          <w:b/>
          <w:bCs/>
        </w:rPr>
        <w:t xml:space="preserve">MADDE 2 – </w:t>
      </w:r>
      <w:r w:rsidRPr="00401EA3">
        <w:rPr>
          <w:rFonts w:eastAsia="Times New Roman"/>
        </w:rPr>
        <w:t>(1)</w:t>
      </w:r>
      <w:r w:rsidRPr="00401EA3">
        <w:rPr>
          <w:rFonts w:eastAsia="Times New Roman"/>
          <w:b/>
          <w:bCs/>
        </w:rPr>
        <w:t xml:space="preserve"> </w:t>
      </w:r>
      <w:r w:rsidRPr="00401EA3">
        <w:rPr>
          <w:rFonts w:eastAsia="Times New Roman"/>
        </w:rPr>
        <w:t>Bu Yönerge, 10’uncu madde ’de belirtilen harcırah grupları içinde yer</w:t>
      </w:r>
      <w:r w:rsidRPr="00401EA3">
        <w:rPr>
          <w:rFonts w:eastAsia="Times New Roman"/>
          <w:b/>
          <w:bCs/>
        </w:rPr>
        <w:t xml:space="preserve"> </w:t>
      </w:r>
      <w:r w:rsidRPr="00401EA3">
        <w:rPr>
          <w:rFonts w:eastAsia="Times New Roman"/>
        </w:rPr>
        <w:t>alan tüm personeli kapsar.</w:t>
      </w:r>
    </w:p>
    <w:p w14:paraId="0868DD69" w14:textId="77777777" w:rsidR="00B1348C" w:rsidRPr="00401EA3" w:rsidRDefault="00B1348C">
      <w:pPr>
        <w:spacing w:line="31" w:lineRule="exact"/>
      </w:pPr>
    </w:p>
    <w:p w14:paraId="3A02AF68" w14:textId="77777777" w:rsidR="00B1348C" w:rsidRPr="00401EA3" w:rsidRDefault="005C28D5">
      <w:pPr>
        <w:ind w:left="720"/>
      </w:pPr>
      <w:r w:rsidRPr="00401EA3">
        <w:rPr>
          <w:rFonts w:eastAsia="Times New Roman"/>
          <w:b/>
          <w:bCs/>
        </w:rPr>
        <w:t>Dayanak</w:t>
      </w:r>
    </w:p>
    <w:p w14:paraId="140FED58" w14:textId="77777777" w:rsidR="00B1348C" w:rsidRPr="00401EA3" w:rsidRDefault="00B1348C">
      <w:pPr>
        <w:spacing w:line="96" w:lineRule="exact"/>
      </w:pPr>
    </w:p>
    <w:p w14:paraId="4211042A" w14:textId="77777777" w:rsidR="00B1348C" w:rsidRPr="00401EA3" w:rsidRDefault="005C28D5">
      <w:pPr>
        <w:spacing w:line="264" w:lineRule="auto"/>
        <w:ind w:firstLine="698"/>
      </w:pPr>
      <w:r w:rsidRPr="00401EA3">
        <w:rPr>
          <w:rFonts w:eastAsia="Times New Roman"/>
          <w:b/>
          <w:bCs/>
        </w:rPr>
        <w:t xml:space="preserve">MADDE 3 – </w:t>
      </w:r>
      <w:r w:rsidRPr="00401EA3">
        <w:rPr>
          <w:rFonts w:eastAsia="Times New Roman"/>
        </w:rPr>
        <w:t>(1) Bu Yönerge, Türk Hava Kurumu Üniversitesi Ana Yönetmeliği’nin</w:t>
      </w:r>
      <w:r w:rsidRPr="00401EA3">
        <w:rPr>
          <w:rFonts w:eastAsia="Times New Roman"/>
          <w:b/>
          <w:bCs/>
        </w:rPr>
        <w:t xml:space="preserve"> </w:t>
      </w:r>
      <w:r w:rsidRPr="00401EA3">
        <w:rPr>
          <w:rFonts w:eastAsia="Times New Roman"/>
        </w:rPr>
        <w:t>6’ncı maddesinin (d) fıkrasına dayanılarak hazırlanmıştır.</w:t>
      </w:r>
    </w:p>
    <w:p w14:paraId="21D985C4" w14:textId="77777777" w:rsidR="00B1348C" w:rsidRPr="00401EA3" w:rsidRDefault="00B1348C">
      <w:pPr>
        <w:spacing w:line="31" w:lineRule="exact"/>
      </w:pPr>
    </w:p>
    <w:p w14:paraId="30ED871F" w14:textId="77777777" w:rsidR="00B1348C" w:rsidRPr="00401EA3" w:rsidRDefault="005C28D5">
      <w:pPr>
        <w:ind w:left="720"/>
      </w:pPr>
      <w:r w:rsidRPr="00401EA3">
        <w:rPr>
          <w:rFonts w:eastAsia="Times New Roman"/>
          <w:b/>
          <w:bCs/>
        </w:rPr>
        <w:t>Tanımlar</w:t>
      </w:r>
    </w:p>
    <w:p w14:paraId="23657EB7" w14:textId="77777777" w:rsidR="00B1348C" w:rsidRPr="00401EA3" w:rsidRDefault="00B1348C">
      <w:pPr>
        <w:spacing w:line="84" w:lineRule="exact"/>
      </w:pPr>
    </w:p>
    <w:p w14:paraId="07BAECC7" w14:textId="77777777" w:rsidR="00B1348C" w:rsidRPr="00401EA3" w:rsidRDefault="005C28D5">
      <w:pPr>
        <w:ind w:left="720"/>
      </w:pPr>
      <w:r w:rsidRPr="00401EA3">
        <w:rPr>
          <w:rFonts w:eastAsia="Times New Roman"/>
          <w:b/>
          <w:bCs/>
        </w:rPr>
        <w:t xml:space="preserve">MADDE 4 – </w:t>
      </w:r>
      <w:r w:rsidRPr="00401EA3">
        <w:rPr>
          <w:rFonts w:eastAsia="Times New Roman"/>
        </w:rPr>
        <w:t>(1</w:t>
      </w:r>
      <w:proofErr w:type="gramStart"/>
      <w:r w:rsidRPr="00401EA3">
        <w:rPr>
          <w:rFonts w:eastAsia="Times New Roman"/>
        </w:rPr>
        <w:t>)  Bu</w:t>
      </w:r>
      <w:proofErr w:type="gramEnd"/>
      <w:r w:rsidRPr="00401EA3">
        <w:rPr>
          <w:rFonts w:eastAsia="Times New Roman"/>
        </w:rPr>
        <w:t xml:space="preserve"> Yönergede geçen;</w:t>
      </w:r>
    </w:p>
    <w:p w14:paraId="291A4DE9" w14:textId="77777777" w:rsidR="00B1348C" w:rsidRPr="00401EA3" w:rsidRDefault="00B1348C">
      <w:pPr>
        <w:spacing w:line="53" w:lineRule="exact"/>
      </w:pPr>
    </w:p>
    <w:p w14:paraId="712B9F49" w14:textId="77777777" w:rsidR="00B1348C" w:rsidRPr="00401EA3" w:rsidRDefault="005C28D5" w:rsidP="00C704F2">
      <w:pPr>
        <w:numPr>
          <w:ilvl w:val="0"/>
          <w:numId w:val="1"/>
        </w:numPr>
        <w:tabs>
          <w:tab w:val="left" w:pos="851"/>
        </w:tabs>
        <w:ind w:firstLine="642"/>
        <w:jc w:val="both"/>
        <w:rPr>
          <w:rFonts w:eastAsia="Times New Roman"/>
        </w:rPr>
      </w:pPr>
      <w:r w:rsidRPr="00401EA3">
        <w:rPr>
          <w:rFonts w:eastAsia="Times New Roman"/>
        </w:rPr>
        <w:t>Üniversite: Türk Hava Kurumu Üniversitesi '</w:t>
      </w:r>
      <w:proofErr w:type="spellStart"/>
      <w:r w:rsidRPr="00401EA3">
        <w:rPr>
          <w:rFonts w:eastAsia="Times New Roman"/>
        </w:rPr>
        <w:t>ni</w:t>
      </w:r>
      <w:proofErr w:type="spellEnd"/>
      <w:r w:rsidRPr="00401EA3">
        <w:rPr>
          <w:rFonts w:eastAsia="Times New Roman"/>
        </w:rPr>
        <w:t>,</w:t>
      </w:r>
    </w:p>
    <w:p w14:paraId="318AA3D7" w14:textId="77777777" w:rsidR="00B1348C" w:rsidRPr="00401EA3" w:rsidRDefault="00B1348C" w:rsidP="00C704F2">
      <w:pPr>
        <w:tabs>
          <w:tab w:val="left" w:pos="851"/>
        </w:tabs>
        <w:spacing w:line="65" w:lineRule="exact"/>
        <w:ind w:firstLine="642"/>
        <w:jc w:val="both"/>
        <w:rPr>
          <w:rFonts w:eastAsia="Times New Roman"/>
        </w:rPr>
      </w:pPr>
    </w:p>
    <w:p w14:paraId="2EBC2D5F" w14:textId="77777777" w:rsidR="00B1348C" w:rsidRPr="00401EA3" w:rsidRDefault="005C28D5" w:rsidP="00C704F2">
      <w:pPr>
        <w:numPr>
          <w:ilvl w:val="0"/>
          <w:numId w:val="1"/>
        </w:numPr>
        <w:tabs>
          <w:tab w:val="left" w:pos="851"/>
        </w:tabs>
        <w:spacing w:line="275" w:lineRule="auto"/>
        <w:ind w:right="680" w:firstLine="642"/>
        <w:jc w:val="both"/>
        <w:rPr>
          <w:rFonts w:eastAsia="Times New Roman"/>
        </w:rPr>
      </w:pPr>
      <w:r w:rsidRPr="00401EA3">
        <w:rPr>
          <w:rFonts w:eastAsia="Times New Roman"/>
        </w:rPr>
        <w:t>Mütevelli Heyet Başkanı: Türk Hava Kuru</w:t>
      </w:r>
      <w:r w:rsidR="00C704F2" w:rsidRPr="00401EA3">
        <w:rPr>
          <w:rFonts w:eastAsia="Times New Roman"/>
        </w:rPr>
        <w:t xml:space="preserve">mu Üniversitesi Mütevelli Heyet </w:t>
      </w:r>
      <w:r w:rsidRPr="00401EA3">
        <w:rPr>
          <w:rFonts w:eastAsia="Times New Roman"/>
        </w:rPr>
        <w:t>Başkanı’nı,</w:t>
      </w:r>
    </w:p>
    <w:p w14:paraId="04256D2F" w14:textId="77777777" w:rsidR="00B1348C" w:rsidRPr="00401EA3" w:rsidRDefault="00B1348C" w:rsidP="00C704F2">
      <w:pPr>
        <w:tabs>
          <w:tab w:val="left" w:pos="851"/>
        </w:tabs>
        <w:spacing w:line="10" w:lineRule="exact"/>
        <w:ind w:firstLine="642"/>
        <w:jc w:val="both"/>
        <w:rPr>
          <w:rFonts w:eastAsia="Times New Roman"/>
        </w:rPr>
      </w:pPr>
    </w:p>
    <w:p w14:paraId="2ADA451F" w14:textId="77777777" w:rsidR="00B1348C" w:rsidRPr="00401EA3" w:rsidRDefault="005C28D5" w:rsidP="00C704F2">
      <w:pPr>
        <w:numPr>
          <w:ilvl w:val="0"/>
          <w:numId w:val="1"/>
        </w:numPr>
        <w:tabs>
          <w:tab w:val="left" w:pos="851"/>
        </w:tabs>
        <w:ind w:firstLine="642"/>
        <w:jc w:val="both"/>
        <w:rPr>
          <w:rFonts w:eastAsia="Times New Roman"/>
        </w:rPr>
      </w:pPr>
      <w:r w:rsidRPr="00401EA3">
        <w:rPr>
          <w:rFonts w:eastAsia="Times New Roman"/>
        </w:rPr>
        <w:t>Rektör: Türk Hava Kurumu Üniversitesi Rektörü'nü,</w:t>
      </w:r>
    </w:p>
    <w:p w14:paraId="129A6DB6" w14:textId="77777777" w:rsidR="00B1348C" w:rsidRPr="00401EA3" w:rsidRDefault="00B1348C" w:rsidP="00C704F2">
      <w:pPr>
        <w:tabs>
          <w:tab w:val="left" w:pos="851"/>
        </w:tabs>
        <w:spacing w:line="52" w:lineRule="exact"/>
        <w:ind w:firstLine="642"/>
        <w:jc w:val="both"/>
        <w:rPr>
          <w:rFonts w:eastAsia="Times New Roman"/>
        </w:rPr>
      </w:pPr>
    </w:p>
    <w:p w14:paraId="496FA27A" w14:textId="77777777" w:rsidR="00B1348C" w:rsidRPr="00401EA3" w:rsidRDefault="005C28D5" w:rsidP="00C704F2">
      <w:pPr>
        <w:numPr>
          <w:ilvl w:val="0"/>
          <w:numId w:val="1"/>
        </w:numPr>
        <w:tabs>
          <w:tab w:val="left" w:pos="851"/>
        </w:tabs>
        <w:ind w:firstLine="642"/>
        <w:jc w:val="both"/>
        <w:rPr>
          <w:rFonts w:eastAsia="Times New Roman"/>
        </w:rPr>
      </w:pPr>
      <w:r w:rsidRPr="00401EA3">
        <w:rPr>
          <w:rFonts w:eastAsia="Times New Roman"/>
        </w:rPr>
        <w:t>Rektörlük: Türk Hava Kurumu Üniversitesi Rektörlüğü’nü,</w:t>
      </w:r>
    </w:p>
    <w:p w14:paraId="5AB90779" w14:textId="77777777" w:rsidR="00B1348C" w:rsidRPr="00401EA3" w:rsidRDefault="00B1348C" w:rsidP="00C704F2">
      <w:pPr>
        <w:tabs>
          <w:tab w:val="left" w:pos="851"/>
        </w:tabs>
        <w:spacing w:line="52" w:lineRule="exact"/>
        <w:ind w:firstLine="642"/>
        <w:jc w:val="both"/>
        <w:rPr>
          <w:rFonts w:eastAsia="Times New Roman"/>
        </w:rPr>
      </w:pPr>
    </w:p>
    <w:p w14:paraId="07608F0B" w14:textId="77777777" w:rsidR="00B1348C" w:rsidRPr="00401EA3" w:rsidRDefault="005C28D5" w:rsidP="00C704F2">
      <w:pPr>
        <w:numPr>
          <w:ilvl w:val="0"/>
          <w:numId w:val="1"/>
        </w:numPr>
        <w:tabs>
          <w:tab w:val="left" w:pos="851"/>
        </w:tabs>
        <w:ind w:firstLine="642"/>
        <w:jc w:val="both"/>
        <w:rPr>
          <w:rFonts w:eastAsia="Times New Roman"/>
        </w:rPr>
      </w:pPr>
      <w:r w:rsidRPr="00401EA3">
        <w:rPr>
          <w:rFonts w:eastAsia="Times New Roman"/>
        </w:rPr>
        <w:t>Genel Sekreterlik: Türk Hava Kurumu Üniversitesi Genel Sekreterliği 'ni,</w:t>
      </w:r>
    </w:p>
    <w:p w14:paraId="1E5C438F" w14:textId="77777777" w:rsidR="00B1348C" w:rsidRPr="00401EA3" w:rsidRDefault="00B1348C" w:rsidP="00C704F2">
      <w:pPr>
        <w:tabs>
          <w:tab w:val="left" w:pos="851"/>
        </w:tabs>
        <w:spacing w:line="52" w:lineRule="exact"/>
        <w:ind w:firstLine="642"/>
        <w:jc w:val="both"/>
        <w:rPr>
          <w:rFonts w:eastAsia="Times New Roman"/>
        </w:rPr>
      </w:pPr>
    </w:p>
    <w:p w14:paraId="54987F05" w14:textId="77777777" w:rsidR="00B1348C" w:rsidRPr="00401EA3" w:rsidRDefault="005C28D5" w:rsidP="00C704F2">
      <w:pPr>
        <w:numPr>
          <w:ilvl w:val="0"/>
          <w:numId w:val="1"/>
        </w:numPr>
        <w:tabs>
          <w:tab w:val="left" w:pos="851"/>
        </w:tabs>
        <w:ind w:firstLine="642"/>
        <w:jc w:val="both"/>
        <w:rPr>
          <w:rFonts w:eastAsia="Times New Roman"/>
        </w:rPr>
      </w:pPr>
      <w:r w:rsidRPr="00401EA3">
        <w:rPr>
          <w:rFonts w:eastAsia="Times New Roman"/>
        </w:rPr>
        <w:t>Seyahat: İş seyahati ve akademik amaçlı seyahatleri,</w:t>
      </w:r>
    </w:p>
    <w:p w14:paraId="794DB3E3" w14:textId="77777777" w:rsidR="00B1348C" w:rsidRPr="00401EA3" w:rsidRDefault="00B1348C" w:rsidP="00C704F2">
      <w:pPr>
        <w:tabs>
          <w:tab w:val="left" w:pos="851"/>
        </w:tabs>
        <w:spacing w:line="52" w:lineRule="exact"/>
        <w:ind w:firstLine="642"/>
        <w:jc w:val="both"/>
        <w:rPr>
          <w:rFonts w:eastAsia="Times New Roman"/>
        </w:rPr>
      </w:pPr>
    </w:p>
    <w:p w14:paraId="34FAF9D6" w14:textId="77777777" w:rsidR="00B1348C" w:rsidRPr="00401EA3" w:rsidRDefault="005C28D5" w:rsidP="00C704F2">
      <w:pPr>
        <w:numPr>
          <w:ilvl w:val="0"/>
          <w:numId w:val="1"/>
        </w:numPr>
        <w:tabs>
          <w:tab w:val="left" w:pos="851"/>
        </w:tabs>
        <w:ind w:firstLine="642"/>
        <w:jc w:val="both"/>
        <w:rPr>
          <w:rFonts w:eastAsia="Times New Roman"/>
        </w:rPr>
      </w:pPr>
      <w:r w:rsidRPr="00401EA3">
        <w:rPr>
          <w:rFonts w:eastAsia="Times New Roman"/>
        </w:rPr>
        <w:t>İş seyahati: İşle ilgili bir görevi yerine getirmek üzere yapılan seyahati,</w:t>
      </w:r>
    </w:p>
    <w:p w14:paraId="1B4F4FA6" w14:textId="77777777" w:rsidR="00B1348C" w:rsidRPr="00401EA3" w:rsidRDefault="00B1348C" w:rsidP="00C704F2">
      <w:pPr>
        <w:tabs>
          <w:tab w:val="left" w:pos="851"/>
        </w:tabs>
        <w:spacing w:line="65" w:lineRule="exact"/>
        <w:ind w:firstLine="642"/>
        <w:jc w:val="both"/>
        <w:rPr>
          <w:rFonts w:eastAsia="Times New Roman"/>
        </w:rPr>
      </w:pPr>
    </w:p>
    <w:p w14:paraId="4CAF6307" w14:textId="77777777" w:rsidR="00B1348C" w:rsidRPr="00401EA3" w:rsidRDefault="005C28D5" w:rsidP="00C704F2">
      <w:pPr>
        <w:numPr>
          <w:ilvl w:val="0"/>
          <w:numId w:val="1"/>
        </w:numPr>
        <w:tabs>
          <w:tab w:val="left" w:pos="851"/>
        </w:tabs>
        <w:spacing w:line="264" w:lineRule="auto"/>
        <w:ind w:firstLine="642"/>
        <w:jc w:val="both"/>
        <w:rPr>
          <w:rFonts w:eastAsia="Times New Roman"/>
        </w:rPr>
      </w:pPr>
      <w:r w:rsidRPr="00401EA3">
        <w:rPr>
          <w:rFonts w:eastAsia="Times New Roman"/>
        </w:rPr>
        <w:t>Akademik amaçlı seyahat: Her türlü bilimsel ve eğitsel etkinliğe katılmak üzere yapılan seyahati,</w:t>
      </w:r>
    </w:p>
    <w:p w14:paraId="7F76E792" w14:textId="77777777" w:rsidR="00B1348C" w:rsidRPr="00401EA3" w:rsidRDefault="00B1348C" w:rsidP="00C704F2">
      <w:pPr>
        <w:tabs>
          <w:tab w:val="left" w:pos="851"/>
        </w:tabs>
        <w:spacing w:line="26" w:lineRule="exact"/>
        <w:ind w:firstLine="642"/>
        <w:jc w:val="both"/>
        <w:rPr>
          <w:rFonts w:eastAsia="Times New Roman"/>
        </w:rPr>
      </w:pPr>
    </w:p>
    <w:p w14:paraId="0F9EB8B0" w14:textId="77777777" w:rsidR="00B1348C" w:rsidRPr="00401EA3" w:rsidRDefault="005C28D5" w:rsidP="00C704F2">
      <w:pPr>
        <w:numPr>
          <w:ilvl w:val="0"/>
          <w:numId w:val="1"/>
        </w:numPr>
        <w:tabs>
          <w:tab w:val="left" w:pos="851"/>
        </w:tabs>
        <w:ind w:firstLine="642"/>
        <w:jc w:val="both"/>
        <w:rPr>
          <w:rFonts w:eastAsia="Times New Roman"/>
        </w:rPr>
      </w:pPr>
      <w:r w:rsidRPr="00401EA3">
        <w:rPr>
          <w:rFonts w:eastAsia="Times New Roman"/>
        </w:rPr>
        <w:t>Bilimsel etkinlik: Kongre, konferans, panel, sempozyum ve benzeri etkinlikleri,</w:t>
      </w:r>
    </w:p>
    <w:p w14:paraId="571FFA19" w14:textId="77777777" w:rsidR="00B1348C" w:rsidRPr="00401EA3" w:rsidRDefault="00B1348C" w:rsidP="00C704F2">
      <w:pPr>
        <w:tabs>
          <w:tab w:val="left" w:pos="851"/>
        </w:tabs>
        <w:spacing w:line="50" w:lineRule="exact"/>
        <w:ind w:firstLine="642"/>
        <w:jc w:val="both"/>
        <w:rPr>
          <w:rFonts w:eastAsia="Times New Roman"/>
        </w:rPr>
      </w:pPr>
    </w:p>
    <w:p w14:paraId="00CA79D6" w14:textId="77777777" w:rsidR="00B1348C" w:rsidRPr="00401EA3" w:rsidRDefault="005C28D5" w:rsidP="00C704F2">
      <w:pPr>
        <w:numPr>
          <w:ilvl w:val="0"/>
          <w:numId w:val="1"/>
        </w:numPr>
        <w:tabs>
          <w:tab w:val="left" w:pos="851"/>
        </w:tabs>
        <w:ind w:firstLine="642"/>
        <w:jc w:val="both"/>
        <w:rPr>
          <w:rFonts w:eastAsia="Times New Roman"/>
        </w:rPr>
      </w:pPr>
      <w:r w:rsidRPr="00401EA3">
        <w:rPr>
          <w:rFonts w:eastAsia="Times New Roman"/>
        </w:rPr>
        <w:t>Eğitsel etkinlik: Her türlü eğitim, kurs, çalıştay ve benzeri etkinlikleri,</w:t>
      </w:r>
    </w:p>
    <w:p w14:paraId="72B0B7AB" w14:textId="77777777" w:rsidR="00B1348C" w:rsidRPr="00401EA3" w:rsidRDefault="00B1348C" w:rsidP="00C704F2">
      <w:pPr>
        <w:tabs>
          <w:tab w:val="left" w:pos="851"/>
        </w:tabs>
        <w:spacing w:line="65" w:lineRule="exact"/>
        <w:ind w:firstLine="642"/>
        <w:jc w:val="both"/>
        <w:rPr>
          <w:rFonts w:eastAsia="Times New Roman"/>
        </w:rPr>
      </w:pPr>
    </w:p>
    <w:p w14:paraId="4B18BE66" w14:textId="74A15FF8" w:rsidR="00401EA3" w:rsidRPr="00401EA3" w:rsidRDefault="005C28D5" w:rsidP="00401EA3">
      <w:pPr>
        <w:numPr>
          <w:ilvl w:val="0"/>
          <w:numId w:val="1"/>
        </w:numPr>
        <w:tabs>
          <w:tab w:val="left" w:pos="851"/>
        </w:tabs>
        <w:spacing w:line="265" w:lineRule="auto"/>
        <w:ind w:firstLine="642"/>
        <w:jc w:val="both"/>
        <w:rPr>
          <w:rFonts w:eastAsia="Times New Roman"/>
        </w:rPr>
      </w:pPr>
      <w:r w:rsidRPr="00401EA3">
        <w:rPr>
          <w:rFonts w:eastAsia="Times New Roman"/>
        </w:rPr>
        <w:t>Harcırah: Üniversite ile ilgili işler için yapılacak seyahatlerde personele ödenecek belirlenen günlük yevmiye ile konaklama ödemesini</w:t>
      </w:r>
      <w:r w:rsidR="00401EA3" w:rsidRPr="00401EA3">
        <w:rPr>
          <w:rFonts w:eastAsia="Times New Roman"/>
        </w:rPr>
        <w:t>,</w:t>
      </w:r>
    </w:p>
    <w:p w14:paraId="69505D50" w14:textId="3582B294" w:rsidR="00401EA3" w:rsidRPr="00401EA3" w:rsidRDefault="00401EA3" w:rsidP="00C704F2">
      <w:pPr>
        <w:numPr>
          <w:ilvl w:val="0"/>
          <w:numId w:val="1"/>
        </w:numPr>
        <w:tabs>
          <w:tab w:val="left" w:pos="851"/>
        </w:tabs>
        <w:spacing w:line="265" w:lineRule="auto"/>
        <w:ind w:firstLine="642"/>
        <w:jc w:val="both"/>
        <w:rPr>
          <w:rFonts w:eastAsia="Times New Roman"/>
        </w:rPr>
      </w:pPr>
      <w:r w:rsidRPr="00401EA3">
        <w:rPr>
          <w:rFonts w:eastAsia="Times New Roman"/>
          <w:b/>
          <w:bCs/>
        </w:rPr>
        <w:t>(</w:t>
      </w:r>
      <w:r w:rsidRPr="00401EA3">
        <w:rPr>
          <w:rFonts w:eastAsia="Times New Roman"/>
          <w:b/>
          <w:bCs/>
        </w:rPr>
        <w:t>Ek</w:t>
      </w:r>
      <w:r w:rsidRPr="00401EA3">
        <w:rPr>
          <w:rFonts w:eastAsia="Times New Roman"/>
          <w:b/>
          <w:bCs/>
        </w:rPr>
        <w:t xml:space="preserve">: Mütevelli Heyet K.-19/1/2023-01) </w:t>
      </w:r>
      <w:r w:rsidRPr="00401EA3">
        <w:rPr>
          <w:rFonts w:eastAsia="Times New Roman"/>
        </w:rPr>
        <w:t>Mutat taşıt ücreti: Gidip gelmeye en uygun ve kullanılması mutat (alışılmış) olan bu yolda hem muayyen, (belirli) hem gayrimuayyen (belirsiz) tarifeli taşıt işletilmekte ise harcırah hesabında muayyen (belirli) tarifeli taşıt esas alınır.</w:t>
      </w:r>
    </w:p>
    <w:p w14:paraId="3E801619" w14:textId="77777777" w:rsidR="00B1348C" w:rsidRPr="00401EA3" w:rsidRDefault="00B1348C" w:rsidP="00C704F2">
      <w:pPr>
        <w:tabs>
          <w:tab w:val="left" w:pos="851"/>
        </w:tabs>
        <w:spacing w:line="25" w:lineRule="exact"/>
        <w:ind w:firstLine="642"/>
        <w:jc w:val="both"/>
      </w:pPr>
    </w:p>
    <w:p w14:paraId="52DCA3E2" w14:textId="77777777" w:rsidR="00B1348C" w:rsidRPr="00401EA3" w:rsidRDefault="005C28D5" w:rsidP="00C704F2">
      <w:pPr>
        <w:tabs>
          <w:tab w:val="left" w:pos="851"/>
        </w:tabs>
        <w:ind w:firstLine="642"/>
        <w:jc w:val="both"/>
      </w:pPr>
      <w:proofErr w:type="gramStart"/>
      <w:r w:rsidRPr="00401EA3">
        <w:rPr>
          <w:rFonts w:eastAsia="Times New Roman"/>
        </w:rPr>
        <w:t>ifade</w:t>
      </w:r>
      <w:proofErr w:type="gramEnd"/>
      <w:r w:rsidRPr="00401EA3">
        <w:rPr>
          <w:rFonts w:eastAsia="Times New Roman"/>
        </w:rPr>
        <w:t xml:space="preserve"> eder.</w:t>
      </w:r>
    </w:p>
    <w:p w14:paraId="7588027E" w14:textId="77777777" w:rsidR="00B1348C" w:rsidRPr="00401EA3" w:rsidRDefault="005C28D5">
      <w:pPr>
        <w:ind w:left="3820"/>
      </w:pPr>
      <w:r w:rsidRPr="00401EA3">
        <w:rPr>
          <w:rFonts w:eastAsia="Times New Roman"/>
          <w:b/>
          <w:bCs/>
        </w:rPr>
        <w:t>İKİNCİ BÖLÜM</w:t>
      </w:r>
    </w:p>
    <w:p w14:paraId="7DD4A377" w14:textId="77777777" w:rsidR="00B1348C" w:rsidRPr="00401EA3" w:rsidRDefault="00B1348C">
      <w:pPr>
        <w:spacing w:line="108" w:lineRule="exact"/>
      </w:pPr>
    </w:p>
    <w:p w14:paraId="61900AA2" w14:textId="77777777" w:rsidR="00B1348C" w:rsidRPr="00401EA3" w:rsidRDefault="005C28D5">
      <w:pPr>
        <w:ind w:left="3860"/>
      </w:pPr>
      <w:r w:rsidRPr="00401EA3">
        <w:rPr>
          <w:rFonts w:eastAsia="Times New Roman"/>
          <w:b/>
          <w:bCs/>
        </w:rPr>
        <w:t>Seyahat Esasları</w:t>
      </w:r>
    </w:p>
    <w:p w14:paraId="6DF4D32C" w14:textId="77777777" w:rsidR="00B1348C" w:rsidRPr="00401EA3" w:rsidRDefault="00B1348C">
      <w:pPr>
        <w:spacing w:line="55" w:lineRule="exact"/>
      </w:pPr>
    </w:p>
    <w:p w14:paraId="64563585" w14:textId="77777777" w:rsidR="00B1348C" w:rsidRPr="00401EA3" w:rsidRDefault="005C28D5">
      <w:pPr>
        <w:ind w:left="720"/>
      </w:pPr>
      <w:r w:rsidRPr="00401EA3">
        <w:rPr>
          <w:rFonts w:eastAsia="Times New Roman"/>
          <w:b/>
          <w:bCs/>
        </w:rPr>
        <w:t>Seyahat izni</w:t>
      </w:r>
    </w:p>
    <w:p w14:paraId="5A5016F1" w14:textId="77777777" w:rsidR="00B1348C" w:rsidRPr="00401EA3" w:rsidRDefault="00B1348C">
      <w:pPr>
        <w:spacing w:line="96" w:lineRule="exact"/>
      </w:pPr>
    </w:p>
    <w:p w14:paraId="4D8CFD68" w14:textId="77777777" w:rsidR="00C704F2" w:rsidRPr="00401EA3" w:rsidRDefault="005C28D5" w:rsidP="00C704F2">
      <w:pPr>
        <w:spacing w:line="275" w:lineRule="auto"/>
        <w:ind w:firstLine="698"/>
        <w:jc w:val="both"/>
      </w:pPr>
      <w:r w:rsidRPr="00401EA3">
        <w:rPr>
          <w:rFonts w:eastAsia="Times New Roman"/>
          <w:b/>
          <w:bCs/>
        </w:rPr>
        <w:t xml:space="preserve">MADDE 5 – </w:t>
      </w:r>
      <w:r w:rsidRPr="00401EA3">
        <w:rPr>
          <w:rFonts w:eastAsia="Times New Roman"/>
        </w:rPr>
        <w:t>(1) Tüm seyahat izinlerinin, yurt içi seyahatlerde en az beş iş günü, yurt</w:t>
      </w:r>
      <w:r w:rsidRPr="00401EA3">
        <w:rPr>
          <w:rFonts w:eastAsia="Times New Roman"/>
          <w:b/>
          <w:bCs/>
        </w:rPr>
        <w:t xml:space="preserve"> </w:t>
      </w:r>
      <w:r w:rsidRPr="00401EA3">
        <w:rPr>
          <w:rFonts w:eastAsia="Times New Roman"/>
        </w:rPr>
        <w:t>dışı seyahatlerde ise en az on iş günü öncesinden alınması esastır. Harcıraha tabi seyahatlerde son onay makamı, Mütevelli Heyet Başkanı veya verilen yetkiye binaen Rektörlük Makamıdır. Gerekli onay işlemi tamamlanmadan personel seyahate çıkamaz</w:t>
      </w:r>
      <w:bookmarkStart w:id="1" w:name="page2"/>
      <w:bookmarkEnd w:id="1"/>
      <w:r w:rsidR="00C704F2" w:rsidRPr="00401EA3">
        <w:rPr>
          <w:rFonts w:eastAsia="Times New Roman"/>
        </w:rPr>
        <w:t>.</w:t>
      </w:r>
    </w:p>
    <w:p w14:paraId="34E2612A" w14:textId="77777777" w:rsidR="00B1348C" w:rsidRPr="00401EA3" w:rsidRDefault="005C28D5" w:rsidP="00C704F2">
      <w:pPr>
        <w:spacing w:line="275" w:lineRule="auto"/>
        <w:ind w:firstLine="698"/>
        <w:jc w:val="both"/>
      </w:pPr>
      <w:r w:rsidRPr="00401EA3">
        <w:rPr>
          <w:rFonts w:eastAsia="Times New Roman"/>
          <w:b/>
          <w:bCs/>
        </w:rPr>
        <w:t>Akademik amaçlı seyahat</w:t>
      </w:r>
    </w:p>
    <w:p w14:paraId="6BB64EB0" w14:textId="77777777" w:rsidR="00B1348C" w:rsidRPr="00401EA3" w:rsidRDefault="00B1348C">
      <w:pPr>
        <w:spacing w:line="97" w:lineRule="exact"/>
      </w:pPr>
    </w:p>
    <w:p w14:paraId="4BF5AC40" w14:textId="77777777" w:rsidR="00B1348C" w:rsidRPr="00401EA3" w:rsidRDefault="005C28D5">
      <w:pPr>
        <w:spacing w:line="273" w:lineRule="auto"/>
        <w:ind w:firstLine="718"/>
        <w:jc w:val="both"/>
      </w:pPr>
      <w:r w:rsidRPr="00401EA3">
        <w:rPr>
          <w:rFonts w:eastAsia="Times New Roman"/>
          <w:b/>
          <w:bCs/>
        </w:rPr>
        <w:lastRenderedPageBreak/>
        <w:t xml:space="preserve">MADDE 6 – </w:t>
      </w:r>
      <w:r w:rsidRPr="00401EA3">
        <w:rPr>
          <w:rFonts w:eastAsia="Times New Roman"/>
        </w:rPr>
        <w:t>(1) Bilimsel ve eğitsel etkinliklere katılım amaçlı seyahatlerde, seyahat</w:t>
      </w:r>
      <w:r w:rsidRPr="00401EA3">
        <w:rPr>
          <w:rFonts w:eastAsia="Times New Roman"/>
          <w:b/>
          <w:bCs/>
        </w:rPr>
        <w:t xml:space="preserve"> </w:t>
      </w:r>
      <w:r w:rsidRPr="00401EA3">
        <w:rPr>
          <w:rFonts w:eastAsia="Times New Roman"/>
        </w:rPr>
        <w:t>için uygulanacak harcırah bedelleri (tam, yarım veya harcırahsız), “Türk Hava Kurumu Üniversitesi Öğretim Elemanlarının Bilimsel ve Eğitsel Etkinliklere Katılımını Destekleme ve Uygulama Esasları Yönergesi” ile diğer karar ve uygulamalar dikkate alınarak, Genel Sekreterliğin teklifi üzerine Rektörlük Makamı tarafından belirlenir. Bu seyahatler için ödenecek toplam harcırah (katılım ücreti hariç), gruplar için belirlenen bedelleri aşamaz.</w:t>
      </w:r>
    </w:p>
    <w:p w14:paraId="2ADDE5E6" w14:textId="77777777" w:rsidR="00B1348C" w:rsidRPr="00401EA3" w:rsidRDefault="00B1348C">
      <w:pPr>
        <w:spacing w:line="32" w:lineRule="exact"/>
      </w:pPr>
    </w:p>
    <w:p w14:paraId="1DC96972" w14:textId="77777777" w:rsidR="00B1348C" w:rsidRPr="00401EA3" w:rsidRDefault="005C28D5" w:rsidP="00C704F2">
      <w:pPr>
        <w:numPr>
          <w:ilvl w:val="0"/>
          <w:numId w:val="2"/>
        </w:numPr>
        <w:tabs>
          <w:tab w:val="left" w:pos="1092"/>
        </w:tabs>
        <w:spacing w:line="264" w:lineRule="auto"/>
        <w:ind w:firstLine="700"/>
        <w:jc w:val="both"/>
        <w:rPr>
          <w:rFonts w:eastAsia="Times New Roman"/>
        </w:rPr>
      </w:pPr>
      <w:r w:rsidRPr="00401EA3">
        <w:rPr>
          <w:rFonts w:eastAsia="Times New Roman"/>
        </w:rPr>
        <w:t>Harcıraha tabi bilimsel ve eğitsel etkinl</w:t>
      </w:r>
      <w:r w:rsidR="00C704F2" w:rsidRPr="00401EA3">
        <w:rPr>
          <w:rFonts w:eastAsia="Times New Roman"/>
        </w:rPr>
        <w:t xml:space="preserve">iklere kayıt/katılım ücretleri </w:t>
      </w:r>
      <w:r w:rsidRPr="00401EA3">
        <w:rPr>
          <w:rFonts w:eastAsia="Times New Roman"/>
        </w:rPr>
        <w:t>Rektörlük Makamınca uygun görülmesi halinde- Üniversitece ayrıca ödenir.</w:t>
      </w:r>
    </w:p>
    <w:p w14:paraId="52DEF96E" w14:textId="77777777" w:rsidR="00C704F2" w:rsidRPr="00401EA3" w:rsidRDefault="00C704F2" w:rsidP="00C704F2">
      <w:pPr>
        <w:tabs>
          <w:tab w:val="left" w:pos="1092"/>
        </w:tabs>
        <w:spacing w:line="264" w:lineRule="auto"/>
        <w:ind w:left="700"/>
        <w:jc w:val="both"/>
        <w:rPr>
          <w:rFonts w:eastAsia="Times New Roman"/>
          <w:b/>
        </w:rPr>
      </w:pPr>
      <w:r w:rsidRPr="00401EA3">
        <w:rPr>
          <w:rFonts w:eastAsia="Times New Roman"/>
          <w:b/>
        </w:rPr>
        <w:t>Seyahatle ilgili ödemeler ve limitleri</w:t>
      </w:r>
    </w:p>
    <w:p w14:paraId="4F13C195" w14:textId="77777777" w:rsidR="00C704F2" w:rsidRPr="00401EA3" w:rsidRDefault="00C704F2" w:rsidP="00C704F2">
      <w:pPr>
        <w:tabs>
          <w:tab w:val="left" w:pos="1092"/>
        </w:tabs>
        <w:spacing w:line="264" w:lineRule="auto"/>
        <w:ind w:firstLine="700"/>
        <w:jc w:val="both"/>
        <w:rPr>
          <w:rFonts w:eastAsia="Times New Roman"/>
        </w:rPr>
      </w:pPr>
      <w:r w:rsidRPr="00401EA3">
        <w:rPr>
          <w:rFonts w:eastAsia="Times New Roman"/>
          <w:b/>
        </w:rPr>
        <w:t>MADDE 7</w:t>
      </w:r>
      <w:r w:rsidRPr="00401EA3">
        <w:rPr>
          <w:rFonts w:eastAsia="Times New Roman"/>
        </w:rPr>
        <w:t xml:space="preserve"> – (1) Harcırah esas olarak görev öncesinde verilir. Harcırahın önceden verilemeyeceği durumlarda görev sonunda ödeme yapılır.</w:t>
      </w:r>
    </w:p>
    <w:p w14:paraId="43F65C0D" w14:textId="77777777" w:rsidR="00C704F2" w:rsidRPr="00401EA3" w:rsidRDefault="00C704F2" w:rsidP="00C704F2">
      <w:pPr>
        <w:tabs>
          <w:tab w:val="left" w:pos="1092"/>
        </w:tabs>
        <w:spacing w:line="264" w:lineRule="auto"/>
        <w:ind w:firstLine="700"/>
        <w:jc w:val="both"/>
        <w:rPr>
          <w:rFonts w:eastAsia="Times New Roman"/>
        </w:rPr>
      </w:pPr>
      <w:r w:rsidRPr="00401EA3">
        <w:rPr>
          <w:rFonts w:eastAsia="Times New Roman"/>
        </w:rPr>
        <w:t>(</w:t>
      </w:r>
      <w:proofErr w:type="gramStart"/>
      <w:r w:rsidRPr="00401EA3">
        <w:rPr>
          <w:rFonts w:eastAsia="Times New Roman"/>
        </w:rPr>
        <w:t>2)Seyahat</w:t>
      </w:r>
      <w:proofErr w:type="gramEnd"/>
      <w:r w:rsidRPr="00401EA3">
        <w:rPr>
          <w:rFonts w:eastAsia="Times New Roman"/>
        </w:rPr>
        <w:t xml:space="preserve"> günlük yevmiye ve konaklama bedelleri, gerektiğinde, Ocak aylarında Rektörlük Makamının teklifi üzerine Mütevelli Heyet tarafından</w:t>
      </w:r>
      <w:r w:rsidR="00763848" w:rsidRPr="00401EA3">
        <w:rPr>
          <w:rFonts w:eastAsia="Times New Roman"/>
        </w:rPr>
        <w:t xml:space="preserve"> belirlenir.</w:t>
      </w:r>
    </w:p>
    <w:p w14:paraId="5D364047" w14:textId="77777777" w:rsidR="00B1348C" w:rsidRPr="00401EA3" w:rsidRDefault="00B1348C">
      <w:pPr>
        <w:spacing w:line="31" w:lineRule="exact"/>
        <w:rPr>
          <w:rFonts w:eastAsia="Times New Roman"/>
        </w:rPr>
      </w:pPr>
    </w:p>
    <w:p w14:paraId="054CD0AB" w14:textId="77777777" w:rsidR="00B1348C" w:rsidRPr="00401EA3" w:rsidRDefault="00B1348C" w:rsidP="00C704F2">
      <w:pPr>
        <w:tabs>
          <w:tab w:val="left" w:pos="9214"/>
        </w:tabs>
        <w:spacing w:line="31" w:lineRule="exact"/>
        <w:ind w:right="585"/>
        <w:jc w:val="both"/>
        <w:rPr>
          <w:rFonts w:eastAsia="Times New Roman"/>
        </w:rPr>
      </w:pPr>
    </w:p>
    <w:p w14:paraId="6EEDE0AC" w14:textId="77777777" w:rsidR="00B1348C" w:rsidRPr="00401EA3" w:rsidRDefault="005C28D5" w:rsidP="00C704F2">
      <w:pPr>
        <w:tabs>
          <w:tab w:val="left" w:pos="9214"/>
        </w:tabs>
        <w:ind w:left="720" w:right="585"/>
        <w:jc w:val="both"/>
        <w:rPr>
          <w:rFonts w:eastAsia="Times New Roman"/>
        </w:rPr>
      </w:pPr>
      <w:r w:rsidRPr="00401EA3">
        <w:rPr>
          <w:rFonts w:eastAsia="Times New Roman"/>
          <w:b/>
          <w:bCs/>
        </w:rPr>
        <w:t>Seyahat araçları</w:t>
      </w:r>
    </w:p>
    <w:p w14:paraId="36D11B4C" w14:textId="77777777" w:rsidR="00B1348C" w:rsidRPr="00401EA3" w:rsidRDefault="00B1348C">
      <w:pPr>
        <w:spacing w:line="96" w:lineRule="exact"/>
      </w:pPr>
    </w:p>
    <w:p w14:paraId="0F111358" w14:textId="77777777" w:rsidR="00B1348C" w:rsidRPr="00401EA3" w:rsidRDefault="005C28D5">
      <w:pPr>
        <w:spacing w:line="271" w:lineRule="auto"/>
        <w:ind w:firstLine="698"/>
        <w:jc w:val="both"/>
      </w:pPr>
      <w:r w:rsidRPr="00401EA3">
        <w:rPr>
          <w:rFonts w:eastAsia="Times New Roman"/>
          <w:b/>
          <w:bCs/>
        </w:rPr>
        <w:t xml:space="preserve">MADDE 8 – </w:t>
      </w:r>
      <w:r w:rsidRPr="00401EA3">
        <w:rPr>
          <w:rFonts w:eastAsia="Times New Roman"/>
        </w:rPr>
        <w:t>(1) Birinci harcırah grubunda yer alanlar seyahat aracını</w:t>
      </w:r>
      <w:r w:rsidRPr="00401EA3">
        <w:rPr>
          <w:rFonts w:eastAsia="Times New Roman"/>
          <w:b/>
          <w:bCs/>
        </w:rPr>
        <w:t xml:space="preserve"> </w:t>
      </w:r>
      <w:r w:rsidRPr="00401EA3">
        <w:rPr>
          <w:rFonts w:eastAsia="Times New Roman"/>
        </w:rPr>
        <w:t>kendileri</w:t>
      </w:r>
      <w:r w:rsidRPr="00401EA3">
        <w:rPr>
          <w:rFonts w:eastAsia="Times New Roman"/>
          <w:b/>
          <w:bCs/>
        </w:rPr>
        <w:t xml:space="preserve"> </w:t>
      </w:r>
      <w:r w:rsidRPr="00401EA3">
        <w:rPr>
          <w:rFonts w:eastAsia="Times New Roman"/>
        </w:rPr>
        <w:t>seçerler.</w:t>
      </w:r>
      <w:r w:rsidRPr="00401EA3">
        <w:rPr>
          <w:rFonts w:eastAsia="Times New Roman"/>
          <w:b/>
          <w:bCs/>
        </w:rPr>
        <w:t xml:space="preserve"> </w:t>
      </w:r>
      <w:r w:rsidRPr="00401EA3">
        <w:rPr>
          <w:rFonts w:eastAsia="Times New Roman"/>
        </w:rPr>
        <w:t>İkinci, üçüncü ve dördüncü grup için, seyahat edilecek araç, işin gereği ve aciliyeti göz önüne alınarak, bir üst amirin teklifi ile Rektörlük Makamı tarafından saptanır.</w:t>
      </w:r>
    </w:p>
    <w:p w14:paraId="1D1FDD8E" w14:textId="77777777" w:rsidR="00B1348C" w:rsidRPr="00401EA3" w:rsidRDefault="00B1348C">
      <w:pPr>
        <w:spacing w:line="28" w:lineRule="exact"/>
      </w:pPr>
    </w:p>
    <w:p w14:paraId="6A83481B" w14:textId="77777777" w:rsidR="00B1348C" w:rsidRPr="00401EA3" w:rsidRDefault="005C28D5" w:rsidP="00401EA3">
      <w:pPr>
        <w:numPr>
          <w:ilvl w:val="0"/>
          <w:numId w:val="4"/>
        </w:numPr>
        <w:tabs>
          <w:tab w:val="left" w:pos="1134"/>
        </w:tabs>
        <w:spacing w:line="271" w:lineRule="auto"/>
        <w:ind w:firstLine="709"/>
        <w:jc w:val="both"/>
        <w:rPr>
          <w:rFonts w:eastAsia="Times New Roman"/>
        </w:rPr>
      </w:pPr>
      <w:r w:rsidRPr="00401EA3">
        <w:rPr>
          <w:rFonts w:eastAsia="Times New Roman"/>
        </w:rPr>
        <w:t>Prensip olarak 350 km’yi geçmeyen yurt içi seyahatlerde kara/demir yolu kullanılır. Acil hallerde (veya gerekli görülen durumlarda) Rektörlük Makamı onayı ile 350 km’nin altındaki yolculuklarda uçakla seyahat yapılabilir.</w:t>
      </w:r>
    </w:p>
    <w:p w14:paraId="49722480" w14:textId="77777777" w:rsidR="00B1348C" w:rsidRPr="00401EA3" w:rsidRDefault="00B1348C" w:rsidP="00401EA3">
      <w:pPr>
        <w:tabs>
          <w:tab w:val="left" w:pos="1134"/>
        </w:tabs>
        <w:spacing w:line="30" w:lineRule="exact"/>
        <w:ind w:firstLine="709"/>
        <w:rPr>
          <w:rFonts w:eastAsia="Times New Roman"/>
        </w:rPr>
      </w:pPr>
    </w:p>
    <w:p w14:paraId="3AEF2388" w14:textId="77777777" w:rsidR="00B1348C" w:rsidRPr="00401EA3" w:rsidRDefault="005C28D5" w:rsidP="00401EA3">
      <w:pPr>
        <w:numPr>
          <w:ilvl w:val="0"/>
          <w:numId w:val="4"/>
        </w:numPr>
        <w:tabs>
          <w:tab w:val="left" w:pos="1134"/>
        </w:tabs>
        <w:spacing w:line="270" w:lineRule="auto"/>
        <w:ind w:firstLine="709"/>
        <w:jc w:val="both"/>
        <w:rPr>
          <w:rFonts w:eastAsia="Times New Roman"/>
        </w:rPr>
      </w:pPr>
      <w:r w:rsidRPr="00401EA3">
        <w:rPr>
          <w:rFonts w:eastAsia="Times New Roman"/>
        </w:rPr>
        <w:t>Gerekli görülen durumlarda seyahat için Üniversite araçlarının tahsisi Genel Sekreterliğin uygun görüşü ile Rektörlük Makamı onayına tabidir. Üniversite araçları sadece şoför kadrosundaki personel tarafından kullanılır.</w:t>
      </w:r>
    </w:p>
    <w:p w14:paraId="0332FADE" w14:textId="77777777" w:rsidR="00B1348C" w:rsidRPr="00401EA3" w:rsidRDefault="00B1348C" w:rsidP="00401EA3">
      <w:pPr>
        <w:tabs>
          <w:tab w:val="left" w:pos="1134"/>
        </w:tabs>
        <w:spacing w:line="30" w:lineRule="exact"/>
        <w:ind w:firstLine="709"/>
        <w:rPr>
          <w:rFonts w:eastAsia="Times New Roman"/>
        </w:rPr>
      </w:pPr>
    </w:p>
    <w:p w14:paraId="55CEBDAF" w14:textId="3B3AF07E" w:rsidR="00B1348C" w:rsidRPr="00401EA3" w:rsidRDefault="00401EA3" w:rsidP="00401EA3">
      <w:pPr>
        <w:numPr>
          <w:ilvl w:val="0"/>
          <w:numId w:val="4"/>
        </w:numPr>
        <w:tabs>
          <w:tab w:val="left" w:pos="1134"/>
        </w:tabs>
        <w:spacing w:line="264" w:lineRule="auto"/>
        <w:ind w:firstLine="709"/>
        <w:rPr>
          <w:rFonts w:eastAsia="Times New Roman"/>
        </w:rPr>
      </w:pPr>
      <w:r w:rsidRPr="00401EA3">
        <w:rPr>
          <w:rFonts w:eastAsia="Times New Roman"/>
          <w:b/>
          <w:bCs/>
        </w:rPr>
        <w:t xml:space="preserve">(Değişik: Mütevelli Heyet K.-19/1/2023-01) </w:t>
      </w:r>
      <w:r w:rsidRPr="00401EA3">
        <w:rPr>
          <w:rFonts w:eastAsia="Times New Roman"/>
        </w:rPr>
        <w:t>Özel araçla yapılan seyahatlerde tüm sorumluluk seyahat eden personele ait olup bunlara yol ücreti olarak, mutat taşıt ücreti beyana dayanılarak ödenir.</w:t>
      </w:r>
    </w:p>
    <w:p w14:paraId="774FD4C4" w14:textId="77777777" w:rsidR="00B1348C" w:rsidRPr="00401EA3" w:rsidRDefault="005C28D5">
      <w:pPr>
        <w:ind w:left="720"/>
      </w:pPr>
      <w:r w:rsidRPr="00401EA3">
        <w:rPr>
          <w:rFonts w:eastAsia="Times New Roman"/>
          <w:b/>
          <w:bCs/>
        </w:rPr>
        <w:t>Seyahat süresinde gün hesabı</w:t>
      </w:r>
    </w:p>
    <w:p w14:paraId="4CA24D27" w14:textId="77777777" w:rsidR="00B1348C" w:rsidRPr="00401EA3" w:rsidRDefault="00B1348C">
      <w:pPr>
        <w:spacing w:line="99" w:lineRule="exact"/>
      </w:pPr>
    </w:p>
    <w:p w14:paraId="0976A504" w14:textId="77777777" w:rsidR="00B1348C" w:rsidRPr="00401EA3" w:rsidRDefault="005C28D5">
      <w:pPr>
        <w:spacing w:line="270" w:lineRule="auto"/>
        <w:ind w:firstLine="698"/>
        <w:jc w:val="both"/>
      </w:pPr>
      <w:r w:rsidRPr="00401EA3">
        <w:rPr>
          <w:rFonts w:eastAsia="Times New Roman"/>
          <w:b/>
          <w:bCs/>
        </w:rPr>
        <w:t xml:space="preserve">MADDE </w:t>
      </w:r>
      <w:proofErr w:type="gramStart"/>
      <w:r w:rsidRPr="00401EA3">
        <w:rPr>
          <w:rFonts w:eastAsia="Times New Roman"/>
          <w:b/>
          <w:bCs/>
        </w:rPr>
        <w:t xml:space="preserve">9 </w:t>
      </w:r>
      <w:r w:rsidRPr="00401EA3">
        <w:rPr>
          <w:rFonts w:eastAsia="Times New Roman"/>
        </w:rPr>
        <w:t>-</w:t>
      </w:r>
      <w:proofErr w:type="gramEnd"/>
      <w:r w:rsidRPr="00401EA3">
        <w:rPr>
          <w:rFonts w:eastAsia="Times New Roman"/>
        </w:rPr>
        <w:t xml:space="preserve"> (1)</w:t>
      </w:r>
      <w:r w:rsidRPr="00401EA3">
        <w:rPr>
          <w:rFonts w:eastAsia="Times New Roman"/>
          <w:b/>
          <w:bCs/>
        </w:rPr>
        <w:t xml:space="preserve"> </w:t>
      </w:r>
      <w:r w:rsidRPr="00401EA3">
        <w:rPr>
          <w:rFonts w:eastAsia="Times New Roman"/>
        </w:rPr>
        <w:t>Harcırah tahakkukunda süre, personelin beyanı esas alınarak, gidiş ve</w:t>
      </w:r>
      <w:r w:rsidRPr="00401EA3">
        <w:rPr>
          <w:rFonts w:eastAsia="Times New Roman"/>
          <w:b/>
          <w:bCs/>
        </w:rPr>
        <w:t xml:space="preserve"> </w:t>
      </w:r>
      <w:r w:rsidRPr="00401EA3">
        <w:rPr>
          <w:rFonts w:eastAsia="Times New Roman"/>
        </w:rPr>
        <w:t>dönüş tarihlerine göre hesaplanır. Gereken durumlarda, personelden seyahat tarihlerine esas olacak ulaşım vasıtası belgelerini sunması istenebilir.</w:t>
      </w:r>
    </w:p>
    <w:p w14:paraId="27A547BF" w14:textId="77777777" w:rsidR="00B1348C" w:rsidRPr="00401EA3" w:rsidRDefault="00B1348C">
      <w:pPr>
        <w:spacing w:line="32" w:lineRule="exact"/>
      </w:pPr>
    </w:p>
    <w:p w14:paraId="0ABE3432" w14:textId="77777777" w:rsidR="00B1348C" w:rsidRPr="00401EA3" w:rsidRDefault="005C28D5">
      <w:pPr>
        <w:numPr>
          <w:ilvl w:val="0"/>
          <w:numId w:val="5"/>
        </w:numPr>
        <w:tabs>
          <w:tab w:val="left" w:pos="1279"/>
        </w:tabs>
        <w:spacing w:line="272" w:lineRule="auto"/>
        <w:ind w:firstLine="700"/>
        <w:jc w:val="both"/>
        <w:rPr>
          <w:rFonts w:eastAsia="Times New Roman"/>
          <w:color w:val="343434"/>
        </w:rPr>
      </w:pPr>
      <w:r w:rsidRPr="00401EA3">
        <w:rPr>
          <w:rFonts w:eastAsia="Times New Roman"/>
        </w:rPr>
        <w:t>Seyahatin, seyahat esnasında zorunlu haller nedeniyle uzatılması ancak Rektörlük Makamı'ndan (veya Rektörlük Makamı'nca verilecek yetki bağlamında Genel Sekreterlik'ten) sözlü uygunluk alınması kaydıyla mümkündür. Bu durumda, seyahat sonunda yazılı Ek Onay alınır. Sözlü uygunluk alınmayan uzatma için ek ödeme yapılmaz.</w:t>
      </w:r>
    </w:p>
    <w:p w14:paraId="3DE5126B" w14:textId="77777777" w:rsidR="00B1348C" w:rsidRPr="00401EA3" w:rsidRDefault="00B1348C">
      <w:pPr>
        <w:spacing w:line="28" w:lineRule="exact"/>
        <w:rPr>
          <w:rFonts w:eastAsia="Times New Roman"/>
          <w:color w:val="343434"/>
        </w:rPr>
      </w:pPr>
    </w:p>
    <w:p w14:paraId="18006BD0" w14:textId="77777777" w:rsidR="00B1348C" w:rsidRPr="00401EA3" w:rsidRDefault="005C28D5">
      <w:pPr>
        <w:numPr>
          <w:ilvl w:val="0"/>
          <w:numId w:val="5"/>
        </w:numPr>
        <w:tabs>
          <w:tab w:val="left" w:pos="1279"/>
        </w:tabs>
        <w:spacing w:line="271" w:lineRule="auto"/>
        <w:ind w:firstLine="700"/>
        <w:jc w:val="both"/>
        <w:rPr>
          <w:rFonts w:eastAsia="Times New Roman"/>
          <w:color w:val="343434"/>
        </w:rPr>
      </w:pPr>
      <w:r w:rsidRPr="00401EA3">
        <w:rPr>
          <w:rFonts w:eastAsia="Times New Roman"/>
        </w:rPr>
        <w:t>Seyahatin, seyahat için alınan Onay'da belirtilen süreden kısa sürmesi halinde, peşin olarak fazla alınan harcırah en fazla 5 işgünü içinde Üniversite hesabına iade edilir. Seyahat öncesinde harcırah alınmadı ise, gerçekleşen seyahat süresine uygun harcırah ödenir.</w:t>
      </w:r>
    </w:p>
    <w:p w14:paraId="6334D557" w14:textId="77777777" w:rsidR="00B1348C" w:rsidRPr="00401EA3" w:rsidRDefault="00B1348C">
      <w:pPr>
        <w:spacing w:line="22" w:lineRule="exact"/>
        <w:rPr>
          <w:rFonts w:eastAsia="Times New Roman"/>
          <w:color w:val="343434"/>
        </w:rPr>
      </w:pPr>
    </w:p>
    <w:p w14:paraId="7CE94F15" w14:textId="77777777" w:rsidR="00B1348C" w:rsidRPr="00401EA3" w:rsidRDefault="005C28D5">
      <w:pPr>
        <w:ind w:left="720"/>
        <w:rPr>
          <w:rFonts w:eastAsia="Times New Roman"/>
          <w:color w:val="343434"/>
        </w:rPr>
      </w:pPr>
      <w:r w:rsidRPr="00401EA3">
        <w:rPr>
          <w:rFonts w:eastAsia="Times New Roman"/>
          <w:b/>
          <w:bCs/>
        </w:rPr>
        <w:t>Üniversite Dışı Destekli Seyahatler</w:t>
      </w:r>
    </w:p>
    <w:p w14:paraId="1D8BC8B9" w14:textId="77777777" w:rsidR="00B1348C" w:rsidRPr="00401EA3" w:rsidRDefault="00B1348C">
      <w:pPr>
        <w:spacing w:line="96" w:lineRule="exact"/>
      </w:pPr>
    </w:p>
    <w:p w14:paraId="10F6F74F" w14:textId="15496152" w:rsidR="00027A22" w:rsidRPr="00027A22" w:rsidRDefault="005C28D5" w:rsidP="00027A22">
      <w:pPr>
        <w:spacing w:line="272" w:lineRule="auto"/>
        <w:ind w:firstLine="698"/>
        <w:jc w:val="both"/>
        <w:rPr>
          <w:rFonts w:eastAsia="Times New Roman"/>
        </w:rPr>
      </w:pPr>
      <w:r w:rsidRPr="00401EA3">
        <w:rPr>
          <w:rFonts w:eastAsia="Times New Roman"/>
          <w:b/>
          <w:bCs/>
        </w:rPr>
        <w:t xml:space="preserve">MADDE 10 – </w:t>
      </w:r>
      <w:r w:rsidR="00027A22" w:rsidRPr="00027A22">
        <w:rPr>
          <w:rFonts w:eastAsia="Times New Roman"/>
        </w:rPr>
        <w:t xml:space="preserve">(1) </w:t>
      </w:r>
      <w:r w:rsidR="00027A22">
        <w:rPr>
          <w:rFonts w:eastAsia="Times New Roman"/>
        </w:rPr>
        <w:t>(</w:t>
      </w:r>
      <w:r w:rsidR="00027A22" w:rsidRPr="00027A22">
        <w:rPr>
          <w:rFonts w:eastAsia="Times New Roman"/>
          <w:b/>
          <w:bCs/>
        </w:rPr>
        <w:t xml:space="preserve">Değişik: Mütevelli Heyet K.-19/1/2023-01) </w:t>
      </w:r>
      <w:r w:rsidR="00027A22" w:rsidRPr="00027A22">
        <w:rPr>
          <w:rFonts w:eastAsia="Times New Roman"/>
        </w:rPr>
        <w:t>ERASMUS, TUBİTAK, PROJE gibi faaliyetler kapsamındaki seyahatlerde ilgili kurum/kuruluşlar tarafından harcırah (yol ücreti dâhil) ödenmesi durumunda harcırah tutarı Üniversitece belirlenen bedelden az dahi olsa Üniversite tarafından herhangi bir ek ödeme yapılmaz.</w:t>
      </w:r>
    </w:p>
    <w:p w14:paraId="1A7F1E9F" w14:textId="33A902CE" w:rsidR="00C704F2" w:rsidRDefault="00027A22" w:rsidP="00027A22">
      <w:pPr>
        <w:spacing w:line="272" w:lineRule="auto"/>
        <w:ind w:firstLine="698"/>
        <w:jc w:val="both"/>
        <w:rPr>
          <w:rFonts w:eastAsia="Times New Roman"/>
        </w:rPr>
      </w:pPr>
      <w:r w:rsidRPr="00027A22">
        <w:rPr>
          <w:rFonts w:eastAsia="Times New Roman"/>
        </w:rPr>
        <w:t xml:space="preserve">(2) </w:t>
      </w:r>
      <w:r>
        <w:rPr>
          <w:rFonts w:eastAsia="Times New Roman"/>
        </w:rPr>
        <w:t>(</w:t>
      </w:r>
      <w:r>
        <w:rPr>
          <w:rFonts w:eastAsia="Times New Roman"/>
          <w:b/>
          <w:bCs/>
        </w:rPr>
        <w:t>Ek</w:t>
      </w:r>
      <w:r w:rsidRPr="00027A22">
        <w:rPr>
          <w:rFonts w:eastAsia="Times New Roman"/>
          <w:b/>
          <w:bCs/>
        </w:rPr>
        <w:t xml:space="preserve">: Mütevelli Heyet K.-19/1/2023-01) </w:t>
      </w:r>
      <w:r w:rsidRPr="00027A22">
        <w:rPr>
          <w:rFonts w:eastAsia="Times New Roman"/>
        </w:rPr>
        <w:t xml:space="preserve">Üniversiteyi tanıtıcı faaliyetler veya ikili </w:t>
      </w:r>
      <w:proofErr w:type="gramStart"/>
      <w:r w:rsidRPr="00027A22">
        <w:rPr>
          <w:rFonts w:eastAsia="Times New Roman"/>
        </w:rPr>
        <w:t>işbirlikleri</w:t>
      </w:r>
      <w:proofErr w:type="gramEnd"/>
      <w:r w:rsidRPr="00027A22">
        <w:rPr>
          <w:rFonts w:eastAsia="Times New Roman"/>
        </w:rPr>
        <w:t xml:space="preserve"> kapsamında; yurt içi ve yurt dışından yapılan davetlere ilişkin seyahatlerde, ilgili kurum/kuruluş/şirket tarafından konaklama ve yol ücreti ödenmesi/karşılanması, yemek, içmenin karşılanmaması/ücretin </w:t>
      </w:r>
      <w:r w:rsidRPr="00027A22">
        <w:rPr>
          <w:rFonts w:eastAsia="Times New Roman"/>
        </w:rPr>
        <w:lastRenderedPageBreak/>
        <w:t>ödenmemesi halinde görevlendirilen personele, Mütevelli Heyet Başkanının onayı ile yarım yevmiye ödenir.</w:t>
      </w:r>
    </w:p>
    <w:p w14:paraId="75DD75E5" w14:textId="77777777" w:rsidR="00027A22" w:rsidRPr="00401EA3" w:rsidRDefault="00027A22" w:rsidP="00027A22">
      <w:pPr>
        <w:spacing w:line="272" w:lineRule="auto"/>
        <w:ind w:firstLine="698"/>
        <w:jc w:val="both"/>
      </w:pPr>
    </w:p>
    <w:p w14:paraId="19C6842B" w14:textId="77777777" w:rsidR="00C704F2" w:rsidRPr="00401EA3" w:rsidRDefault="00C704F2">
      <w:pPr>
        <w:spacing w:line="168" w:lineRule="exact"/>
      </w:pPr>
    </w:p>
    <w:p w14:paraId="6FC92741" w14:textId="77777777" w:rsidR="00B1348C" w:rsidRPr="00401EA3" w:rsidRDefault="005C28D5">
      <w:pPr>
        <w:ind w:left="3900"/>
      </w:pPr>
      <w:r w:rsidRPr="00401EA3">
        <w:rPr>
          <w:rFonts w:eastAsia="Times New Roman"/>
          <w:b/>
          <w:bCs/>
        </w:rPr>
        <w:t>ÜÇÜNCÜ BÖLÜM</w:t>
      </w:r>
    </w:p>
    <w:p w14:paraId="12F3ED50" w14:textId="77777777" w:rsidR="00B1348C" w:rsidRPr="00401EA3" w:rsidRDefault="00B1348C">
      <w:pPr>
        <w:spacing w:line="108" w:lineRule="exact"/>
      </w:pPr>
    </w:p>
    <w:p w14:paraId="32E3E3EA" w14:textId="77777777" w:rsidR="00B1348C" w:rsidRPr="00401EA3" w:rsidRDefault="005C28D5">
      <w:pPr>
        <w:ind w:left="2880"/>
      </w:pPr>
      <w:r w:rsidRPr="00401EA3">
        <w:rPr>
          <w:rFonts w:eastAsia="Times New Roman"/>
          <w:b/>
          <w:bCs/>
        </w:rPr>
        <w:t>Harcırah Grupları ve Uygulama</w:t>
      </w:r>
    </w:p>
    <w:p w14:paraId="6BAB5748" w14:textId="77777777" w:rsidR="00B1348C" w:rsidRPr="00401EA3" w:rsidRDefault="00B1348C">
      <w:pPr>
        <w:spacing w:line="55" w:lineRule="exact"/>
      </w:pPr>
    </w:p>
    <w:p w14:paraId="274045BE" w14:textId="77777777" w:rsidR="00B1348C" w:rsidRPr="00401EA3" w:rsidRDefault="005C28D5">
      <w:pPr>
        <w:ind w:left="720"/>
      </w:pPr>
      <w:r w:rsidRPr="00401EA3">
        <w:rPr>
          <w:rFonts w:eastAsia="Times New Roman"/>
          <w:b/>
          <w:bCs/>
        </w:rPr>
        <w:t>Harcırah grupları</w:t>
      </w:r>
    </w:p>
    <w:p w14:paraId="67C042BE" w14:textId="77777777" w:rsidR="00B1348C" w:rsidRPr="00401EA3" w:rsidRDefault="00B1348C">
      <w:pPr>
        <w:spacing w:line="96" w:lineRule="exact"/>
      </w:pPr>
    </w:p>
    <w:p w14:paraId="55CD601E" w14:textId="77777777" w:rsidR="00B1348C" w:rsidRPr="00401EA3" w:rsidRDefault="005C28D5">
      <w:pPr>
        <w:spacing w:line="287" w:lineRule="auto"/>
        <w:ind w:firstLine="698"/>
        <w:jc w:val="both"/>
      </w:pPr>
      <w:r w:rsidRPr="00401EA3">
        <w:rPr>
          <w:rFonts w:eastAsia="Times New Roman"/>
          <w:b/>
          <w:bCs/>
        </w:rPr>
        <w:t xml:space="preserve">MADDE </w:t>
      </w:r>
      <w:proofErr w:type="gramStart"/>
      <w:r w:rsidRPr="00401EA3">
        <w:rPr>
          <w:rFonts w:eastAsia="Times New Roman"/>
          <w:b/>
          <w:bCs/>
        </w:rPr>
        <w:t>11 -</w:t>
      </w:r>
      <w:proofErr w:type="gramEnd"/>
      <w:r w:rsidRPr="00401EA3">
        <w:rPr>
          <w:rFonts w:eastAsia="Times New Roman"/>
          <w:b/>
          <w:bCs/>
        </w:rPr>
        <w:t xml:space="preserve"> </w:t>
      </w:r>
      <w:r w:rsidRPr="00401EA3">
        <w:rPr>
          <w:rFonts w:eastAsia="Times New Roman"/>
        </w:rPr>
        <w:t>(1) Bu yönergenin uygulanması bakımından Üniversite personeli Ek-1</w:t>
      </w:r>
      <w:r w:rsidRPr="00401EA3">
        <w:rPr>
          <w:rFonts w:eastAsia="Times New Roman"/>
          <w:b/>
          <w:bCs/>
        </w:rPr>
        <w:t xml:space="preserve"> </w:t>
      </w:r>
      <w:r w:rsidRPr="00401EA3">
        <w:rPr>
          <w:rFonts w:eastAsia="Times New Roman"/>
        </w:rPr>
        <w:t>tabloda belirtilen şekilde 4 Gruba ayrılır. Mütevelli Heyet Başkan ve Üyelerinin Üniversitemiz için yapacağı seyahatlerde Birinci Grup'tan işlem yapılır (Mütevelli Heyet Başkan ve Üyelerinin Mütevelli Heyet toplantıları için yapacakları seyahatler bu Yönerge kapsamı dışındadır).</w:t>
      </w:r>
    </w:p>
    <w:p w14:paraId="42ED4AB8" w14:textId="77777777" w:rsidR="00B1348C" w:rsidRPr="00401EA3" w:rsidRDefault="00B1348C">
      <w:pPr>
        <w:spacing w:line="17" w:lineRule="exact"/>
      </w:pPr>
    </w:p>
    <w:p w14:paraId="24585D4C" w14:textId="77777777" w:rsidR="00B1348C" w:rsidRPr="00401EA3" w:rsidRDefault="005C28D5" w:rsidP="00401EA3">
      <w:pPr>
        <w:numPr>
          <w:ilvl w:val="0"/>
          <w:numId w:val="6"/>
        </w:numPr>
        <w:tabs>
          <w:tab w:val="left" w:pos="1134"/>
        </w:tabs>
        <w:spacing w:line="264" w:lineRule="auto"/>
        <w:ind w:firstLine="700"/>
        <w:rPr>
          <w:rFonts w:eastAsia="Times New Roman"/>
        </w:rPr>
      </w:pPr>
      <w:r w:rsidRPr="00401EA3">
        <w:rPr>
          <w:rFonts w:eastAsia="Times New Roman"/>
        </w:rPr>
        <w:t>Birden fazla kişinin aynı iş seyahatine çıkması halinde gruptaki kişiler için kendi harcırah gruplarında belirlenen bedeller uygulanır.</w:t>
      </w:r>
    </w:p>
    <w:p w14:paraId="6CFFE806" w14:textId="77777777" w:rsidR="00B1348C" w:rsidRPr="00401EA3" w:rsidRDefault="00B1348C" w:rsidP="00401EA3">
      <w:pPr>
        <w:tabs>
          <w:tab w:val="left" w:pos="1134"/>
        </w:tabs>
        <w:spacing w:line="38" w:lineRule="exact"/>
        <w:rPr>
          <w:rFonts w:eastAsia="Times New Roman"/>
        </w:rPr>
      </w:pPr>
    </w:p>
    <w:p w14:paraId="30752FF5" w14:textId="77777777" w:rsidR="00B1348C" w:rsidRPr="00401EA3" w:rsidRDefault="005C28D5" w:rsidP="00401EA3">
      <w:pPr>
        <w:numPr>
          <w:ilvl w:val="0"/>
          <w:numId w:val="6"/>
        </w:numPr>
        <w:tabs>
          <w:tab w:val="left" w:pos="1134"/>
        </w:tabs>
        <w:spacing w:line="265" w:lineRule="auto"/>
        <w:ind w:firstLine="700"/>
        <w:rPr>
          <w:rFonts w:eastAsia="Times New Roman"/>
        </w:rPr>
      </w:pPr>
      <w:r w:rsidRPr="00401EA3">
        <w:rPr>
          <w:rFonts w:eastAsia="Times New Roman"/>
        </w:rPr>
        <w:t>Yukarıdaki tabloda belirtilen harcırah bedelleri günlük olarak belirlenmiş olup bu bedeller dışında herhangi bir ek ücret ödenmez.</w:t>
      </w:r>
    </w:p>
    <w:p w14:paraId="1ABD948F" w14:textId="77777777" w:rsidR="00B1348C" w:rsidRPr="00401EA3" w:rsidRDefault="00B1348C" w:rsidP="00401EA3">
      <w:pPr>
        <w:tabs>
          <w:tab w:val="left" w:pos="1134"/>
        </w:tabs>
        <w:spacing w:line="36" w:lineRule="exact"/>
        <w:rPr>
          <w:rFonts w:eastAsia="Times New Roman"/>
        </w:rPr>
      </w:pPr>
    </w:p>
    <w:p w14:paraId="6CBC47C5" w14:textId="77777777" w:rsidR="00B1348C" w:rsidRPr="00401EA3" w:rsidRDefault="00B1348C" w:rsidP="00401EA3">
      <w:pPr>
        <w:tabs>
          <w:tab w:val="left" w:pos="1134"/>
        </w:tabs>
        <w:spacing w:line="30" w:lineRule="exact"/>
        <w:rPr>
          <w:rFonts w:eastAsia="Times New Roman"/>
        </w:rPr>
      </w:pPr>
    </w:p>
    <w:p w14:paraId="487EF439" w14:textId="16E8BF77" w:rsidR="00401EA3" w:rsidRPr="00401EA3" w:rsidRDefault="00401EA3" w:rsidP="00401EA3">
      <w:pPr>
        <w:numPr>
          <w:ilvl w:val="0"/>
          <w:numId w:val="6"/>
        </w:numPr>
        <w:tabs>
          <w:tab w:val="left" w:pos="1134"/>
        </w:tabs>
        <w:spacing w:line="272" w:lineRule="auto"/>
        <w:ind w:firstLine="700"/>
        <w:jc w:val="both"/>
        <w:rPr>
          <w:rFonts w:eastAsia="Times New Roman"/>
        </w:rPr>
      </w:pPr>
      <w:r w:rsidRPr="00401EA3">
        <w:rPr>
          <w:rFonts w:eastAsia="Times New Roman"/>
          <w:b/>
          <w:bCs/>
        </w:rPr>
        <w:t xml:space="preserve">(Değişik: Mütevelli Heyet K.-19/1/2023-01) </w:t>
      </w:r>
      <w:r w:rsidRPr="00401EA3">
        <w:rPr>
          <w:rFonts w:eastAsia="Times New Roman"/>
        </w:rPr>
        <w:t>Yol ücreti (Uçak, Tren, Otobüs Bileti) belgelenmesi kaydıyla ayrıca ödenir. Bunun dışında ikametgâh havaalanı/tren garı, otobüs terminali ve buralardan görev yerine ulaşım için mutat taşıt ücreti ödenmesi halinde beyana dayanılarak ödenir.</w:t>
      </w:r>
    </w:p>
    <w:p w14:paraId="0E1A4588" w14:textId="721FC96B" w:rsidR="00B1348C" w:rsidRPr="00401EA3" w:rsidRDefault="005C28D5" w:rsidP="00401EA3">
      <w:pPr>
        <w:numPr>
          <w:ilvl w:val="0"/>
          <w:numId w:val="6"/>
        </w:numPr>
        <w:tabs>
          <w:tab w:val="left" w:pos="1134"/>
        </w:tabs>
        <w:spacing w:line="272" w:lineRule="auto"/>
        <w:ind w:firstLine="700"/>
        <w:jc w:val="both"/>
        <w:rPr>
          <w:rFonts w:eastAsia="Times New Roman"/>
        </w:rPr>
      </w:pPr>
      <w:r w:rsidRPr="00401EA3">
        <w:rPr>
          <w:rFonts w:eastAsia="Times New Roman"/>
        </w:rPr>
        <w:t>Rektörün yapacağı seyahatlerde, kendisine eşlik edecek Özel Kalem Müdürü ve Makam Şoförü için konaklama ücreti İkinci Grup limitine kadar yükseltilebilir. Ancak ödeme belge ibrazına göre, bu rakam geçilmeyecek şekilde, gerçek ödeme esas alınarak yapılır. Belge ibraz edilmeyen durumlarda, tabi olunan grup esas bedeli ödenir.</w:t>
      </w:r>
    </w:p>
    <w:p w14:paraId="20EA3AB7" w14:textId="77777777" w:rsidR="00B1348C" w:rsidRPr="00401EA3" w:rsidRDefault="00B1348C" w:rsidP="00401EA3">
      <w:pPr>
        <w:tabs>
          <w:tab w:val="left" w:pos="1134"/>
        </w:tabs>
        <w:spacing w:line="30" w:lineRule="exact"/>
        <w:rPr>
          <w:rFonts w:eastAsia="Times New Roman"/>
        </w:rPr>
      </w:pPr>
    </w:p>
    <w:p w14:paraId="54DB3CD2" w14:textId="77777777" w:rsidR="00B1348C" w:rsidRPr="00401EA3" w:rsidRDefault="005C28D5" w:rsidP="00401EA3">
      <w:pPr>
        <w:numPr>
          <w:ilvl w:val="0"/>
          <w:numId w:val="6"/>
        </w:numPr>
        <w:tabs>
          <w:tab w:val="left" w:pos="1134"/>
        </w:tabs>
        <w:spacing w:line="264" w:lineRule="auto"/>
        <w:ind w:firstLine="700"/>
        <w:rPr>
          <w:rFonts w:eastAsia="Times New Roman"/>
        </w:rPr>
      </w:pPr>
      <w:r w:rsidRPr="00401EA3">
        <w:rPr>
          <w:rFonts w:eastAsia="Times New Roman"/>
        </w:rPr>
        <w:t>Harcıraha tabi yurtdışı seyahatleri için fiilen yapılan vize ve vizeyle ilgili diğer masraflar ile yurt dışı çıkış harç pulu masrafları, Üniversitece ödenir.</w:t>
      </w:r>
    </w:p>
    <w:p w14:paraId="79B922EC" w14:textId="77777777" w:rsidR="00B1348C" w:rsidRPr="00401EA3" w:rsidRDefault="00B1348C" w:rsidP="00401EA3">
      <w:pPr>
        <w:tabs>
          <w:tab w:val="left" w:pos="1134"/>
        </w:tabs>
        <w:spacing w:line="38" w:lineRule="exact"/>
        <w:rPr>
          <w:rFonts w:eastAsia="Times New Roman"/>
        </w:rPr>
      </w:pPr>
    </w:p>
    <w:p w14:paraId="4E7DA162" w14:textId="77777777" w:rsidR="00B1348C" w:rsidRPr="00401EA3" w:rsidRDefault="005C28D5" w:rsidP="00401EA3">
      <w:pPr>
        <w:numPr>
          <w:ilvl w:val="0"/>
          <w:numId w:val="6"/>
        </w:numPr>
        <w:tabs>
          <w:tab w:val="left" w:pos="1134"/>
        </w:tabs>
        <w:spacing w:line="273" w:lineRule="auto"/>
        <w:ind w:right="80" w:firstLine="700"/>
        <w:rPr>
          <w:rFonts w:eastAsia="Times New Roman"/>
        </w:rPr>
      </w:pPr>
      <w:r w:rsidRPr="00401EA3">
        <w:rPr>
          <w:rFonts w:eastAsia="Times New Roman"/>
        </w:rPr>
        <w:t>Seyahatlerde; uçak/tren biletleri Birinci Grup kişilere Business Class; 2., 3. ve 4. Grup kişilere ekonomik mevki bilet alınır.</w:t>
      </w:r>
    </w:p>
    <w:p w14:paraId="44A50AF0" w14:textId="77777777" w:rsidR="00B1348C" w:rsidRPr="00401EA3" w:rsidRDefault="00B1348C" w:rsidP="00401EA3">
      <w:pPr>
        <w:tabs>
          <w:tab w:val="left" w:pos="1134"/>
        </w:tabs>
        <w:spacing w:line="15" w:lineRule="exact"/>
        <w:rPr>
          <w:rFonts w:eastAsia="Times New Roman"/>
        </w:rPr>
      </w:pPr>
    </w:p>
    <w:p w14:paraId="0AA166F7" w14:textId="77777777" w:rsidR="00B1348C" w:rsidRPr="00401EA3" w:rsidRDefault="005C28D5" w:rsidP="00401EA3">
      <w:pPr>
        <w:numPr>
          <w:ilvl w:val="0"/>
          <w:numId w:val="6"/>
        </w:numPr>
        <w:tabs>
          <w:tab w:val="left" w:pos="1134"/>
        </w:tabs>
        <w:ind w:left="1280" w:hanging="580"/>
        <w:rPr>
          <w:rFonts w:eastAsia="Times New Roman"/>
        </w:rPr>
      </w:pPr>
      <w:r w:rsidRPr="00401EA3">
        <w:rPr>
          <w:rFonts w:eastAsia="Times New Roman"/>
        </w:rPr>
        <w:t>Uçak biletlerinin Üniversite tarafından temin edilmesi esastır.</w:t>
      </w:r>
    </w:p>
    <w:p w14:paraId="6CF7DA09" w14:textId="77777777" w:rsidR="00B1348C" w:rsidRPr="00401EA3" w:rsidRDefault="00B1348C" w:rsidP="00401EA3">
      <w:pPr>
        <w:tabs>
          <w:tab w:val="left" w:pos="1134"/>
        </w:tabs>
        <w:spacing w:line="65" w:lineRule="exact"/>
        <w:rPr>
          <w:rFonts w:eastAsia="Times New Roman"/>
        </w:rPr>
      </w:pPr>
    </w:p>
    <w:p w14:paraId="7B746FF8" w14:textId="77777777" w:rsidR="00B1348C" w:rsidRPr="00401EA3" w:rsidRDefault="005C28D5" w:rsidP="00401EA3">
      <w:pPr>
        <w:numPr>
          <w:ilvl w:val="0"/>
          <w:numId w:val="6"/>
        </w:numPr>
        <w:tabs>
          <w:tab w:val="left" w:pos="1134"/>
        </w:tabs>
        <w:spacing w:line="264" w:lineRule="auto"/>
        <w:ind w:firstLine="700"/>
        <w:rPr>
          <w:rFonts w:eastAsia="Times New Roman"/>
        </w:rPr>
      </w:pPr>
      <w:r w:rsidRPr="00401EA3">
        <w:rPr>
          <w:rFonts w:eastAsia="Times New Roman"/>
        </w:rPr>
        <w:t>Seyahat kapsamında gidilen görev yerinde araç kiralanması gerektiren durumlar için önceden Rektörlük Makamı Onayı alınması gereklidir.</w:t>
      </w:r>
    </w:p>
    <w:p w14:paraId="3CF88218" w14:textId="77777777" w:rsidR="00B1348C" w:rsidRPr="00401EA3" w:rsidRDefault="00B1348C" w:rsidP="00401EA3">
      <w:pPr>
        <w:tabs>
          <w:tab w:val="left" w:pos="1134"/>
        </w:tabs>
        <w:spacing w:line="37" w:lineRule="exact"/>
        <w:rPr>
          <w:rFonts w:eastAsia="Times New Roman"/>
        </w:rPr>
      </w:pPr>
    </w:p>
    <w:p w14:paraId="24A39615" w14:textId="77777777" w:rsidR="00B1348C" w:rsidRPr="00401EA3" w:rsidRDefault="005C28D5" w:rsidP="00401EA3">
      <w:pPr>
        <w:numPr>
          <w:ilvl w:val="0"/>
          <w:numId w:val="6"/>
        </w:numPr>
        <w:tabs>
          <w:tab w:val="left" w:pos="1134"/>
        </w:tabs>
        <w:ind w:left="1280" w:hanging="580"/>
        <w:rPr>
          <w:rFonts w:eastAsia="Times New Roman"/>
        </w:rPr>
      </w:pPr>
      <w:r w:rsidRPr="00401EA3">
        <w:rPr>
          <w:rFonts w:eastAsia="Times New Roman"/>
        </w:rPr>
        <w:t>İşle ilgili olarak bir kolinin götürülmesi veya getirilmesi dışında fazla bagaj bedeli</w:t>
      </w:r>
    </w:p>
    <w:p w14:paraId="32C1626C" w14:textId="77777777" w:rsidR="00B1348C" w:rsidRPr="00401EA3" w:rsidRDefault="00B1348C" w:rsidP="00401EA3">
      <w:pPr>
        <w:tabs>
          <w:tab w:val="left" w:pos="1134"/>
        </w:tabs>
        <w:spacing w:line="40" w:lineRule="exact"/>
        <w:rPr>
          <w:rFonts w:eastAsia="Times New Roman"/>
        </w:rPr>
      </w:pPr>
    </w:p>
    <w:p w14:paraId="3FE984F4" w14:textId="77777777" w:rsidR="00B1348C" w:rsidRPr="00401EA3" w:rsidRDefault="005C28D5" w:rsidP="00401EA3">
      <w:pPr>
        <w:tabs>
          <w:tab w:val="left" w:pos="1134"/>
        </w:tabs>
        <w:rPr>
          <w:rFonts w:eastAsia="Times New Roman"/>
        </w:rPr>
      </w:pPr>
      <w:proofErr w:type="gramStart"/>
      <w:r w:rsidRPr="00401EA3">
        <w:rPr>
          <w:rFonts w:eastAsia="Times New Roman"/>
        </w:rPr>
        <w:t>ödenmez</w:t>
      </w:r>
      <w:proofErr w:type="gramEnd"/>
      <w:r w:rsidRPr="00401EA3">
        <w:rPr>
          <w:rFonts w:eastAsia="Times New Roman"/>
        </w:rPr>
        <w:t>.</w:t>
      </w:r>
    </w:p>
    <w:p w14:paraId="7C9E558F" w14:textId="76F7BEAC" w:rsidR="001A683F" w:rsidRPr="00401EA3" w:rsidRDefault="005B7567" w:rsidP="000113B6">
      <w:pPr>
        <w:pStyle w:val="ListeParagraf"/>
        <w:numPr>
          <w:ilvl w:val="0"/>
          <w:numId w:val="6"/>
        </w:numPr>
        <w:tabs>
          <w:tab w:val="left" w:pos="1276"/>
        </w:tabs>
        <w:spacing w:line="276" w:lineRule="auto"/>
        <w:ind w:left="0" w:firstLine="720"/>
        <w:jc w:val="both"/>
        <w:rPr>
          <w:rFonts w:eastAsia="Times New Roman"/>
        </w:rPr>
      </w:pPr>
      <w:bookmarkStart w:id="2" w:name="_Hlk127533519"/>
      <w:r w:rsidRPr="00401EA3">
        <w:rPr>
          <w:rFonts w:eastAsia="Times New Roman"/>
          <w:b/>
          <w:bCs/>
        </w:rPr>
        <w:t>(</w:t>
      </w:r>
      <w:r w:rsidR="00401EA3" w:rsidRPr="00401EA3">
        <w:rPr>
          <w:rFonts w:eastAsia="Times New Roman"/>
          <w:b/>
          <w:bCs/>
        </w:rPr>
        <w:t>Değişik:</w:t>
      </w:r>
      <w:r w:rsidRPr="00401EA3">
        <w:rPr>
          <w:rFonts w:eastAsia="Times New Roman"/>
          <w:b/>
          <w:bCs/>
        </w:rPr>
        <w:t xml:space="preserve"> Mütevelli Heyet K.</w:t>
      </w:r>
      <w:r w:rsidR="001A683F" w:rsidRPr="00401EA3">
        <w:rPr>
          <w:rFonts w:eastAsia="Times New Roman"/>
          <w:b/>
          <w:bCs/>
        </w:rPr>
        <w:t>-</w:t>
      </w:r>
      <w:bookmarkStart w:id="3" w:name="_Hlk127534250"/>
      <w:r w:rsidR="00401EA3" w:rsidRPr="00401EA3">
        <w:rPr>
          <w:rFonts w:eastAsia="Times New Roman"/>
          <w:b/>
          <w:bCs/>
        </w:rPr>
        <w:t>19</w:t>
      </w:r>
      <w:r w:rsidR="001A683F" w:rsidRPr="00401EA3">
        <w:rPr>
          <w:rFonts w:eastAsia="Times New Roman"/>
          <w:b/>
          <w:bCs/>
        </w:rPr>
        <w:t>/</w:t>
      </w:r>
      <w:r w:rsidR="00401EA3" w:rsidRPr="00401EA3">
        <w:rPr>
          <w:rFonts w:eastAsia="Times New Roman"/>
          <w:b/>
          <w:bCs/>
        </w:rPr>
        <w:t>1</w:t>
      </w:r>
      <w:r w:rsidR="001A683F" w:rsidRPr="00401EA3">
        <w:rPr>
          <w:rFonts w:eastAsia="Times New Roman"/>
          <w:b/>
          <w:bCs/>
        </w:rPr>
        <w:t>/202</w:t>
      </w:r>
      <w:r w:rsidR="00401EA3" w:rsidRPr="00401EA3">
        <w:rPr>
          <w:rFonts w:eastAsia="Times New Roman"/>
          <w:b/>
          <w:bCs/>
        </w:rPr>
        <w:t>3</w:t>
      </w:r>
      <w:r w:rsidR="001A683F" w:rsidRPr="00401EA3">
        <w:rPr>
          <w:rFonts w:eastAsia="Times New Roman"/>
          <w:b/>
          <w:bCs/>
        </w:rPr>
        <w:t>-0</w:t>
      </w:r>
      <w:r w:rsidR="00401EA3" w:rsidRPr="00401EA3">
        <w:rPr>
          <w:rFonts w:eastAsia="Times New Roman"/>
          <w:b/>
          <w:bCs/>
        </w:rPr>
        <w:t>1</w:t>
      </w:r>
      <w:bookmarkEnd w:id="3"/>
      <w:r w:rsidR="001A683F" w:rsidRPr="00401EA3">
        <w:rPr>
          <w:rFonts w:eastAsia="Times New Roman"/>
          <w:b/>
          <w:bCs/>
        </w:rPr>
        <w:t>)</w:t>
      </w:r>
      <w:r w:rsidR="000113B6" w:rsidRPr="00401EA3">
        <w:rPr>
          <w:rFonts w:eastAsia="Times New Roman"/>
          <w:b/>
          <w:bCs/>
        </w:rPr>
        <w:t xml:space="preserve"> </w:t>
      </w:r>
      <w:bookmarkEnd w:id="2"/>
      <w:r w:rsidR="00401EA3" w:rsidRPr="00401EA3">
        <w:rPr>
          <w:rFonts w:eastAsia="Times New Roman"/>
        </w:rPr>
        <w:t>Akademik veya idari personelin yurt içi veya yurt dışı görevlendirmelerinde, konaklama giderlerinin Bu Yönerge Eki Ek-1 Gruplar ve Harcırah Bedelleri tablosunda yer alan tutarlara göre Üniversite tarafından karşılanması esastır. Ancak, konaklamanın belirlenen bedelden karşılanamaması nedeniyle daha yüksek bir bedelle konaklamanın Üniversite tarafından karşılanması veya personel tarafından karşılanan konaklama gideri, Bu Yönerge Eki Ek-1 Gruplar ve Harcırah Bedelleri tablosunda belirlenen konaklama bedelinden fazla olması halinde aradaki fark Mütevelli Heyet Başkanının onayı ile ayrıca ödenir.</w:t>
      </w:r>
    </w:p>
    <w:p w14:paraId="614555BE" w14:textId="77777777" w:rsidR="00B1348C" w:rsidRPr="00401EA3" w:rsidRDefault="00B1348C">
      <w:pPr>
        <w:spacing w:line="242" w:lineRule="exact"/>
      </w:pPr>
    </w:p>
    <w:p w14:paraId="3BF75189" w14:textId="77777777" w:rsidR="00B1348C" w:rsidRPr="00401EA3" w:rsidRDefault="005C28D5">
      <w:pPr>
        <w:ind w:left="3740"/>
      </w:pPr>
      <w:r w:rsidRPr="00401EA3">
        <w:rPr>
          <w:rFonts w:eastAsia="Times New Roman"/>
          <w:b/>
          <w:bCs/>
        </w:rPr>
        <w:t>DÖRDÜNCÜ BÖLÜM</w:t>
      </w:r>
    </w:p>
    <w:p w14:paraId="19FFC3BF" w14:textId="77777777" w:rsidR="00B1348C" w:rsidRPr="00401EA3" w:rsidRDefault="00B1348C">
      <w:pPr>
        <w:spacing w:line="108" w:lineRule="exact"/>
      </w:pPr>
    </w:p>
    <w:p w14:paraId="04053B1A" w14:textId="77777777" w:rsidR="00B1348C" w:rsidRPr="00401EA3" w:rsidRDefault="005C28D5">
      <w:pPr>
        <w:ind w:left="3940"/>
      </w:pPr>
      <w:r w:rsidRPr="00401EA3">
        <w:rPr>
          <w:rFonts w:eastAsia="Times New Roman"/>
          <w:b/>
          <w:bCs/>
        </w:rPr>
        <w:t>Son Hükümler</w:t>
      </w:r>
    </w:p>
    <w:p w14:paraId="57B8F736" w14:textId="77777777" w:rsidR="00B1348C" w:rsidRPr="00401EA3" w:rsidRDefault="00B1348C">
      <w:pPr>
        <w:spacing w:line="56" w:lineRule="exact"/>
      </w:pPr>
    </w:p>
    <w:p w14:paraId="6DF0B73E" w14:textId="77777777" w:rsidR="00B1348C" w:rsidRPr="00401EA3" w:rsidRDefault="005C28D5">
      <w:pPr>
        <w:ind w:left="720"/>
      </w:pPr>
      <w:r w:rsidRPr="00401EA3">
        <w:rPr>
          <w:rFonts w:eastAsia="Times New Roman"/>
          <w:b/>
          <w:bCs/>
        </w:rPr>
        <w:t>Yürürlükten kaldırma</w:t>
      </w:r>
    </w:p>
    <w:p w14:paraId="46B2C38E" w14:textId="77777777" w:rsidR="00B1348C" w:rsidRPr="00401EA3" w:rsidRDefault="00B1348C">
      <w:pPr>
        <w:spacing w:line="96" w:lineRule="exact"/>
      </w:pPr>
    </w:p>
    <w:p w14:paraId="5304E624" w14:textId="77777777" w:rsidR="00B1348C" w:rsidRPr="00401EA3" w:rsidRDefault="005C28D5">
      <w:pPr>
        <w:spacing w:line="264" w:lineRule="auto"/>
        <w:ind w:firstLine="698"/>
      </w:pPr>
      <w:r w:rsidRPr="00401EA3">
        <w:rPr>
          <w:rFonts w:eastAsia="Times New Roman"/>
          <w:b/>
          <w:bCs/>
        </w:rPr>
        <w:t xml:space="preserve">MADDE 12 – </w:t>
      </w:r>
      <w:r w:rsidRPr="00401EA3">
        <w:rPr>
          <w:rFonts w:eastAsia="Times New Roman"/>
        </w:rPr>
        <w:t>(1) Bu yönergenin kabulünden itibaren önceki Türk Hava Kurumu</w:t>
      </w:r>
      <w:r w:rsidRPr="00401EA3">
        <w:rPr>
          <w:rFonts w:eastAsia="Times New Roman"/>
          <w:b/>
          <w:bCs/>
        </w:rPr>
        <w:t xml:space="preserve"> </w:t>
      </w:r>
      <w:r w:rsidRPr="00401EA3">
        <w:rPr>
          <w:rFonts w:eastAsia="Times New Roman"/>
        </w:rPr>
        <w:t>Üniversitesi Seyahat Yönergesi yürürlükten kaldırılmıştır.</w:t>
      </w:r>
    </w:p>
    <w:p w14:paraId="7DFDDED2" w14:textId="77777777" w:rsidR="00B1348C" w:rsidRPr="00401EA3" w:rsidRDefault="00B1348C">
      <w:pPr>
        <w:spacing w:line="31" w:lineRule="exact"/>
      </w:pPr>
    </w:p>
    <w:p w14:paraId="0F5A2623" w14:textId="77777777" w:rsidR="00B1348C" w:rsidRPr="00401EA3" w:rsidRDefault="005C28D5">
      <w:pPr>
        <w:ind w:left="720"/>
      </w:pPr>
      <w:r w:rsidRPr="00401EA3">
        <w:rPr>
          <w:rFonts w:eastAsia="Times New Roman"/>
          <w:b/>
          <w:bCs/>
        </w:rPr>
        <w:t>Yürürlük</w:t>
      </w:r>
    </w:p>
    <w:p w14:paraId="1075CC55" w14:textId="77777777" w:rsidR="00B1348C" w:rsidRPr="00401EA3" w:rsidRDefault="00B1348C">
      <w:pPr>
        <w:spacing w:line="96" w:lineRule="exact"/>
      </w:pPr>
    </w:p>
    <w:p w14:paraId="122C9486" w14:textId="77777777" w:rsidR="00B1348C" w:rsidRPr="00401EA3" w:rsidRDefault="005C28D5">
      <w:pPr>
        <w:spacing w:line="266" w:lineRule="auto"/>
        <w:ind w:firstLine="698"/>
      </w:pPr>
      <w:r w:rsidRPr="00401EA3">
        <w:rPr>
          <w:rFonts w:eastAsia="Times New Roman"/>
          <w:b/>
          <w:bCs/>
        </w:rPr>
        <w:lastRenderedPageBreak/>
        <w:t xml:space="preserve">MADDE 13 – </w:t>
      </w:r>
      <w:r w:rsidRPr="00401EA3">
        <w:rPr>
          <w:rFonts w:eastAsia="Times New Roman"/>
        </w:rPr>
        <w:t>(1) Bu Yönerge, Türk Hava Kurumu Üniversitesi Mütevelli Heyeti</w:t>
      </w:r>
      <w:r w:rsidRPr="00401EA3">
        <w:rPr>
          <w:rFonts w:eastAsia="Times New Roman"/>
          <w:b/>
          <w:bCs/>
        </w:rPr>
        <w:t xml:space="preserve"> </w:t>
      </w:r>
      <w:r w:rsidRPr="00401EA3">
        <w:rPr>
          <w:rFonts w:eastAsia="Times New Roman"/>
        </w:rPr>
        <w:t>tarafından onaylandığı tarihte yürürlüğe girer.</w:t>
      </w:r>
    </w:p>
    <w:p w14:paraId="534AA2A2" w14:textId="77777777" w:rsidR="00B1348C" w:rsidRPr="00401EA3" w:rsidRDefault="00B1348C">
      <w:pPr>
        <w:spacing w:line="26" w:lineRule="exact"/>
      </w:pPr>
    </w:p>
    <w:p w14:paraId="714E0567" w14:textId="77777777" w:rsidR="00B1348C" w:rsidRPr="00401EA3" w:rsidRDefault="005C28D5">
      <w:pPr>
        <w:ind w:left="720"/>
      </w:pPr>
      <w:r w:rsidRPr="00401EA3">
        <w:rPr>
          <w:rFonts w:eastAsia="Times New Roman"/>
          <w:b/>
          <w:bCs/>
        </w:rPr>
        <w:t>Yürütme</w:t>
      </w:r>
    </w:p>
    <w:p w14:paraId="5932377A" w14:textId="77777777" w:rsidR="00B1348C" w:rsidRPr="00401EA3" w:rsidRDefault="00B1348C">
      <w:pPr>
        <w:spacing w:line="99" w:lineRule="exact"/>
      </w:pPr>
    </w:p>
    <w:p w14:paraId="76873549" w14:textId="77777777" w:rsidR="00B1348C" w:rsidRPr="00401EA3" w:rsidRDefault="005C28D5">
      <w:pPr>
        <w:spacing w:line="264" w:lineRule="auto"/>
        <w:ind w:firstLine="698"/>
      </w:pPr>
      <w:r w:rsidRPr="00401EA3">
        <w:rPr>
          <w:rFonts w:eastAsia="Times New Roman"/>
          <w:b/>
          <w:bCs/>
        </w:rPr>
        <w:t xml:space="preserve">MADDE 14 – </w:t>
      </w:r>
      <w:r w:rsidRPr="00401EA3">
        <w:rPr>
          <w:rFonts w:eastAsia="Times New Roman"/>
        </w:rPr>
        <w:t>(1) Bu Yönerge hükümlerini, Türk Hava Kurumu Üniversitesi Rektörü</w:t>
      </w:r>
      <w:r w:rsidRPr="00401EA3">
        <w:rPr>
          <w:rFonts w:eastAsia="Times New Roman"/>
          <w:b/>
          <w:bCs/>
        </w:rPr>
        <w:t xml:space="preserve"> </w:t>
      </w:r>
      <w:r w:rsidRPr="00401EA3">
        <w:rPr>
          <w:rFonts w:eastAsia="Times New Roman"/>
        </w:rPr>
        <w:t>yürütür.</w:t>
      </w:r>
    </w:p>
    <w:p w14:paraId="3C1415ED" w14:textId="77777777" w:rsidR="00B1348C" w:rsidRPr="00401EA3" w:rsidRDefault="00B1348C">
      <w:pPr>
        <w:sectPr w:rsidR="00B1348C" w:rsidRPr="00401EA3" w:rsidSect="00C704F2">
          <w:footerReference w:type="default" r:id="rId8"/>
          <w:pgSz w:w="11900" w:h="16838"/>
          <w:pgMar w:top="1134" w:right="701" w:bottom="219" w:left="1400" w:header="0" w:footer="0" w:gutter="0"/>
          <w:cols w:space="708" w:equalWidth="0">
            <w:col w:w="9100"/>
          </w:cols>
        </w:sectPr>
      </w:pPr>
    </w:p>
    <w:p w14:paraId="6999E7DB" w14:textId="77777777" w:rsidR="000113B6" w:rsidRPr="00401EA3" w:rsidRDefault="005C28D5">
      <w:pPr>
        <w:ind w:left="220"/>
        <w:rPr>
          <w:rFonts w:eastAsia="Times New Roman"/>
          <w:b/>
          <w:bCs/>
        </w:rPr>
      </w:pPr>
      <w:bookmarkStart w:id="4" w:name="page4"/>
      <w:bookmarkEnd w:id="4"/>
      <w:r w:rsidRPr="00401EA3">
        <w:rPr>
          <w:rFonts w:eastAsia="Times New Roman"/>
          <w:b/>
          <w:bCs/>
        </w:rPr>
        <w:lastRenderedPageBreak/>
        <w:t>Ek-1: Gruplar ve Harcırah Bedelleri</w:t>
      </w:r>
      <w:r w:rsidR="00C704F2" w:rsidRPr="00401EA3">
        <w:rPr>
          <w:rFonts w:eastAsia="Times New Roman"/>
          <w:b/>
          <w:bCs/>
        </w:rPr>
        <w:t xml:space="preserve"> </w:t>
      </w:r>
    </w:p>
    <w:p w14:paraId="5060B6B1" w14:textId="6DE6D3E1" w:rsidR="00B1348C" w:rsidRPr="00401EA3" w:rsidRDefault="000113B6">
      <w:pPr>
        <w:ind w:left="220"/>
      </w:pPr>
      <w:r w:rsidRPr="00401EA3">
        <w:rPr>
          <w:rFonts w:eastAsia="Times New Roman"/>
          <w:b/>
          <w:bCs/>
        </w:rPr>
        <w:t xml:space="preserve">(Değişik: </w:t>
      </w:r>
      <w:r w:rsidR="005B7567" w:rsidRPr="00401EA3">
        <w:rPr>
          <w:rFonts w:eastAsia="Times New Roman"/>
          <w:b/>
          <w:bCs/>
        </w:rPr>
        <w:t xml:space="preserve">Mütevelli Heyet K. </w:t>
      </w:r>
      <w:r w:rsidR="009976F7">
        <w:rPr>
          <w:rFonts w:eastAsia="Times New Roman"/>
          <w:b/>
          <w:bCs/>
        </w:rPr>
        <w:t>-</w:t>
      </w:r>
      <w:r w:rsidR="009976F7" w:rsidRPr="009976F7">
        <w:rPr>
          <w:rFonts w:eastAsia="Times New Roman"/>
          <w:b/>
          <w:bCs/>
        </w:rPr>
        <w:t>19/1/2023-01</w:t>
      </w:r>
      <w:r w:rsidR="005B7567" w:rsidRPr="00401EA3">
        <w:rPr>
          <w:rFonts w:eastAsia="Times New Roman"/>
          <w:b/>
          <w:bCs/>
        </w:rPr>
        <w:t>)</w:t>
      </w:r>
      <w:r w:rsidRPr="00401EA3">
        <w:rPr>
          <w:rFonts w:eastAsia="Times New Roman"/>
          <w:b/>
          <w:bCs/>
        </w:rPr>
        <w:t xml:space="preserve"> </w:t>
      </w:r>
    </w:p>
    <w:p w14:paraId="294D80FD" w14:textId="77777777" w:rsidR="00B1348C" w:rsidRPr="00401EA3" w:rsidRDefault="00B1348C">
      <w:pPr>
        <w:spacing w:line="353" w:lineRule="exact"/>
      </w:pPr>
    </w:p>
    <w:tbl>
      <w:tblPr>
        <w:tblW w:w="9550" w:type="dxa"/>
        <w:tblInd w:w="10" w:type="dxa"/>
        <w:tblLayout w:type="fixed"/>
        <w:tblCellMar>
          <w:left w:w="0" w:type="dxa"/>
          <w:right w:w="0" w:type="dxa"/>
        </w:tblCellMar>
        <w:tblLook w:val="04A0" w:firstRow="1" w:lastRow="0" w:firstColumn="1" w:lastColumn="0" w:noHBand="0" w:noVBand="1"/>
      </w:tblPr>
      <w:tblGrid>
        <w:gridCol w:w="3000"/>
        <w:gridCol w:w="1420"/>
        <w:gridCol w:w="1420"/>
        <w:gridCol w:w="1140"/>
        <w:gridCol w:w="480"/>
        <w:gridCol w:w="940"/>
        <w:gridCol w:w="480"/>
        <w:gridCol w:w="640"/>
        <w:gridCol w:w="30"/>
      </w:tblGrid>
      <w:tr w:rsidR="009976F7" w:rsidRPr="00401EA3" w14:paraId="3906A652" w14:textId="77777777" w:rsidTr="00243936">
        <w:trPr>
          <w:trHeight w:val="333"/>
        </w:trPr>
        <w:tc>
          <w:tcPr>
            <w:tcW w:w="3000" w:type="dxa"/>
            <w:vMerge w:val="restart"/>
            <w:tcBorders>
              <w:top w:val="single" w:sz="8" w:space="0" w:color="auto"/>
              <w:left w:val="single" w:sz="8" w:space="0" w:color="auto"/>
              <w:right w:val="single" w:sz="8" w:space="0" w:color="auto"/>
            </w:tcBorders>
            <w:vAlign w:val="bottom"/>
          </w:tcPr>
          <w:p w14:paraId="1D5A37D7" w14:textId="77777777" w:rsidR="009976F7" w:rsidRPr="00401EA3" w:rsidRDefault="009976F7">
            <w:pPr>
              <w:ind w:left="120"/>
            </w:pPr>
            <w:r w:rsidRPr="00401EA3">
              <w:rPr>
                <w:rFonts w:eastAsia="Times New Roman"/>
              </w:rPr>
              <w:t>UNVAN</w:t>
            </w:r>
          </w:p>
        </w:tc>
        <w:tc>
          <w:tcPr>
            <w:tcW w:w="1420" w:type="dxa"/>
            <w:vMerge w:val="restart"/>
            <w:tcBorders>
              <w:top w:val="single" w:sz="8" w:space="0" w:color="auto"/>
              <w:right w:val="single" w:sz="8" w:space="0" w:color="auto"/>
            </w:tcBorders>
            <w:vAlign w:val="bottom"/>
          </w:tcPr>
          <w:p w14:paraId="291CE2FD" w14:textId="77777777" w:rsidR="009976F7" w:rsidRPr="00401EA3" w:rsidRDefault="009976F7">
            <w:pPr>
              <w:ind w:left="100"/>
            </w:pPr>
            <w:r w:rsidRPr="00401EA3">
              <w:rPr>
                <w:rFonts w:eastAsia="Times New Roman"/>
              </w:rPr>
              <w:t>GRUPLAR</w:t>
            </w:r>
          </w:p>
        </w:tc>
        <w:tc>
          <w:tcPr>
            <w:tcW w:w="2560" w:type="dxa"/>
            <w:gridSpan w:val="2"/>
            <w:vMerge w:val="restart"/>
            <w:tcBorders>
              <w:top w:val="single" w:sz="8" w:space="0" w:color="auto"/>
              <w:right w:val="single" w:sz="8" w:space="0" w:color="auto"/>
            </w:tcBorders>
            <w:vAlign w:val="bottom"/>
          </w:tcPr>
          <w:p w14:paraId="31EFA351" w14:textId="77777777" w:rsidR="009976F7" w:rsidRDefault="009976F7">
            <w:pPr>
              <w:rPr>
                <w:rFonts w:eastAsia="Times New Roman"/>
              </w:rPr>
            </w:pPr>
            <w:r w:rsidRPr="00401EA3">
              <w:rPr>
                <w:rFonts w:eastAsia="Times New Roman"/>
              </w:rPr>
              <w:t>YURT İÇİ</w:t>
            </w:r>
          </w:p>
          <w:p w14:paraId="65C3EB8C" w14:textId="77777777" w:rsidR="009976F7" w:rsidRDefault="009976F7">
            <w:pPr>
              <w:rPr>
                <w:rFonts w:eastAsia="Times New Roman"/>
              </w:rPr>
            </w:pPr>
          </w:p>
          <w:p w14:paraId="38B8BE1C" w14:textId="51593144" w:rsidR="009976F7" w:rsidRPr="00401EA3" w:rsidRDefault="009976F7"/>
        </w:tc>
        <w:tc>
          <w:tcPr>
            <w:tcW w:w="1420" w:type="dxa"/>
            <w:gridSpan w:val="2"/>
            <w:tcBorders>
              <w:top w:val="single" w:sz="8" w:space="0" w:color="auto"/>
              <w:left w:val="single" w:sz="8" w:space="0" w:color="auto"/>
            </w:tcBorders>
            <w:vAlign w:val="bottom"/>
          </w:tcPr>
          <w:p w14:paraId="082EF4C8" w14:textId="77777777" w:rsidR="009976F7" w:rsidRDefault="009976F7">
            <w:pPr>
              <w:ind w:left="80"/>
              <w:rPr>
                <w:rFonts w:eastAsia="Times New Roman"/>
                <w:w w:val="99"/>
              </w:rPr>
            </w:pPr>
          </w:p>
          <w:p w14:paraId="22621AC8" w14:textId="47F7CAE1" w:rsidR="009976F7" w:rsidRPr="00401EA3" w:rsidRDefault="009976F7">
            <w:pPr>
              <w:ind w:left="80"/>
            </w:pPr>
            <w:r w:rsidRPr="00401EA3">
              <w:rPr>
                <w:rFonts w:eastAsia="Times New Roman"/>
                <w:w w:val="99"/>
              </w:rPr>
              <w:t>YURT DIŞI*</w:t>
            </w:r>
          </w:p>
        </w:tc>
        <w:tc>
          <w:tcPr>
            <w:tcW w:w="480" w:type="dxa"/>
            <w:tcBorders>
              <w:top w:val="single" w:sz="8" w:space="0" w:color="auto"/>
            </w:tcBorders>
            <w:vAlign w:val="bottom"/>
          </w:tcPr>
          <w:p w14:paraId="28AA1FA2" w14:textId="77777777" w:rsidR="009976F7" w:rsidRPr="00401EA3" w:rsidRDefault="009976F7"/>
        </w:tc>
        <w:tc>
          <w:tcPr>
            <w:tcW w:w="640" w:type="dxa"/>
            <w:tcBorders>
              <w:top w:val="single" w:sz="8" w:space="0" w:color="auto"/>
              <w:right w:val="single" w:sz="8" w:space="0" w:color="auto"/>
            </w:tcBorders>
            <w:vAlign w:val="bottom"/>
          </w:tcPr>
          <w:p w14:paraId="218C4D70" w14:textId="77777777" w:rsidR="009976F7" w:rsidRPr="00401EA3" w:rsidRDefault="009976F7"/>
        </w:tc>
        <w:tc>
          <w:tcPr>
            <w:tcW w:w="30" w:type="dxa"/>
            <w:vAlign w:val="bottom"/>
          </w:tcPr>
          <w:p w14:paraId="1E839563" w14:textId="77777777" w:rsidR="009976F7" w:rsidRPr="00401EA3" w:rsidRDefault="009976F7"/>
        </w:tc>
      </w:tr>
      <w:tr w:rsidR="009976F7" w:rsidRPr="00401EA3" w14:paraId="223856D9" w14:textId="77777777" w:rsidTr="00243936">
        <w:trPr>
          <w:trHeight w:val="79"/>
        </w:trPr>
        <w:tc>
          <w:tcPr>
            <w:tcW w:w="3000" w:type="dxa"/>
            <w:vMerge/>
            <w:tcBorders>
              <w:left w:val="single" w:sz="8" w:space="0" w:color="auto"/>
              <w:right w:val="single" w:sz="8" w:space="0" w:color="auto"/>
            </w:tcBorders>
            <w:vAlign w:val="bottom"/>
          </w:tcPr>
          <w:p w14:paraId="4F2769D6" w14:textId="77777777" w:rsidR="009976F7" w:rsidRPr="00401EA3" w:rsidRDefault="009976F7"/>
        </w:tc>
        <w:tc>
          <w:tcPr>
            <w:tcW w:w="1420" w:type="dxa"/>
            <w:vMerge/>
            <w:tcBorders>
              <w:right w:val="single" w:sz="8" w:space="0" w:color="auto"/>
            </w:tcBorders>
            <w:vAlign w:val="bottom"/>
          </w:tcPr>
          <w:p w14:paraId="36140C9C" w14:textId="77777777" w:rsidR="009976F7" w:rsidRPr="00401EA3" w:rsidRDefault="009976F7"/>
        </w:tc>
        <w:tc>
          <w:tcPr>
            <w:tcW w:w="2560" w:type="dxa"/>
            <w:gridSpan w:val="2"/>
            <w:vMerge/>
            <w:tcBorders>
              <w:right w:val="single" w:sz="8" w:space="0" w:color="auto"/>
            </w:tcBorders>
            <w:vAlign w:val="bottom"/>
          </w:tcPr>
          <w:p w14:paraId="0F6AA6A9" w14:textId="77777777" w:rsidR="009976F7" w:rsidRPr="00401EA3" w:rsidRDefault="009976F7"/>
        </w:tc>
        <w:tc>
          <w:tcPr>
            <w:tcW w:w="480" w:type="dxa"/>
            <w:tcBorders>
              <w:left w:val="single" w:sz="8" w:space="0" w:color="auto"/>
            </w:tcBorders>
            <w:vAlign w:val="bottom"/>
          </w:tcPr>
          <w:p w14:paraId="09885BC4" w14:textId="77777777" w:rsidR="009976F7" w:rsidRPr="00401EA3" w:rsidRDefault="009976F7"/>
        </w:tc>
        <w:tc>
          <w:tcPr>
            <w:tcW w:w="940" w:type="dxa"/>
            <w:vAlign w:val="bottom"/>
          </w:tcPr>
          <w:p w14:paraId="4F3534C9" w14:textId="77777777" w:rsidR="009976F7" w:rsidRPr="00401EA3" w:rsidRDefault="009976F7"/>
        </w:tc>
        <w:tc>
          <w:tcPr>
            <w:tcW w:w="480" w:type="dxa"/>
            <w:vAlign w:val="bottom"/>
          </w:tcPr>
          <w:p w14:paraId="4736E0E8" w14:textId="77777777" w:rsidR="009976F7" w:rsidRPr="00401EA3" w:rsidRDefault="009976F7"/>
        </w:tc>
        <w:tc>
          <w:tcPr>
            <w:tcW w:w="640" w:type="dxa"/>
            <w:tcBorders>
              <w:right w:val="single" w:sz="8" w:space="0" w:color="auto"/>
            </w:tcBorders>
            <w:vAlign w:val="bottom"/>
          </w:tcPr>
          <w:p w14:paraId="1F5EEE9D" w14:textId="77777777" w:rsidR="009976F7" w:rsidRPr="00401EA3" w:rsidRDefault="009976F7"/>
        </w:tc>
        <w:tc>
          <w:tcPr>
            <w:tcW w:w="30" w:type="dxa"/>
            <w:vAlign w:val="bottom"/>
          </w:tcPr>
          <w:p w14:paraId="17F4B7B5" w14:textId="77777777" w:rsidR="009976F7" w:rsidRPr="00401EA3" w:rsidRDefault="009976F7"/>
        </w:tc>
      </w:tr>
      <w:tr w:rsidR="009976F7" w:rsidRPr="00401EA3" w14:paraId="14165DBF" w14:textId="77777777" w:rsidTr="00243936">
        <w:trPr>
          <w:trHeight w:val="173"/>
        </w:trPr>
        <w:tc>
          <w:tcPr>
            <w:tcW w:w="3000" w:type="dxa"/>
            <w:vMerge/>
            <w:tcBorders>
              <w:left w:val="single" w:sz="8" w:space="0" w:color="auto"/>
              <w:right w:val="single" w:sz="8" w:space="0" w:color="auto"/>
            </w:tcBorders>
            <w:vAlign w:val="bottom"/>
          </w:tcPr>
          <w:p w14:paraId="6668903B" w14:textId="77777777" w:rsidR="009976F7" w:rsidRPr="00401EA3" w:rsidRDefault="009976F7"/>
        </w:tc>
        <w:tc>
          <w:tcPr>
            <w:tcW w:w="1420" w:type="dxa"/>
            <w:vMerge/>
            <w:tcBorders>
              <w:right w:val="single" w:sz="8" w:space="0" w:color="auto"/>
            </w:tcBorders>
            <w:vAlign w:val="bottom"/>
          </w:tcPr>
          <w:p w14:paraId="547219A0" w14:textId="77777777" w:rsidR="009976F7" w:rsidRPr="00401EA3" w:rsidRDefault="009976F7"/>
        </w:tc>
        <w:tc>
          <w:tcPr>
            <w:tcW w:w="2560" w:type="dxa"/>
            <w:gridSpan w:val="2"/>
            <w:vMerge/>
            <w:tcBorders>
              <w:bottom w:val="single" w:sz="8" w:space="0" w:color="auto"/>
              <w:right w:val="single" w:sz="8" w:space="0" w:color="auto"/>
            </w:tcBorders>
            <w:vAlign w:val="bottom"/>
          </w:tcPr>
          <w:p w14:paraId="1EE6A94D" w14:textId="77777777" w:rsidR="009976F7" w:rsidRPr="00401EA3" w:rsidRDefault="009976F7"/>
        </w:tc>
        <w:tc>
          <w:tcPr>
            <w:tcW w:w="480" w:type="dxa"/>
            <w:tcBorders>
              <w:left w:val="single" w:sz="8" w:space="0" w:color="auto"/>
              <w:bottom w:val="single" w:sz="8" w:space="0" w:color="auto"/>
            </w:tcBorders>
            <w:vAlign w:val="bottom"/>
          </w:tcPr>
          <w:p w14:paraId="11F9C3DF" w14:textId="77777777" w:rsidR="009976F7" w:rsidRPr="00401EA3" w:rsidRDefault="009976F7"/>
        </w:tc>
        <w:tc>
          <w:tcPr>
            <w:tcW w:w="940" w:type="dxa"/>
            <w:tcBorders>
              <w:bottom w:val="single" w:sz="8" w:space="0" w:color="auto"/>
            </w:tcBorders>
            <w:vAlign w:val="bottom"/>
          </w:tcPr>
          <w:p w14:paraId="35DBEDC5" w14:textId="77777777" w:rsidR="009976F7" w:rsidRPr="00401EA3" w:rsidRDefault="009976F7"/>
        </w:tc>
        <w:tc>
          <w:tcPr>
            <w:tcW w:w="480" w:type="dxa"/>
            <w:tcBorders>
              <w:bottom w:val="single" w:sz="8" w:space="0" w:color="auto"/>
            </w:tcBorders>
            <w:vAlign w:val="bottom"/>
          </w:tcPr>
          <w:p w14:paraId="513D7B67" w14:textId="77777777" w:rsidR="009976F7" w:rsidRPr="00401EA3" w:rsidRDefault="009976F7"/>
        </w:tc>
        <w:tc>
          <w:tcPr>
            <w:tcW w:w="640" w:type="dxa"/>
            <w:tcBorders>
              <w:bottom w:val="single" w:sz="8" w:space="0" w:color="auto"/>
              <w:right w:val="single" w:sz="8" w:space="0" w:color="auto"/>
            </w:tcBorders>
            <w:vAlign w:val="bottom"/>
          </w:tcPr>
          <w:p w14:paraId="3EB3FA48" w14:textId="77777777" w:rsidR="009976F7" w:rsidRPr="00401EA3" w:rsidRDefault="009976F7"/>
        </w:tc>
        <w:tc>
          <w:tcPr>
            <w:tcW w:w="30" w:type="dxa"/>
            <w:vAlign w:val="bottom"/>
          </w:tcPr>
          <w:p w14:paraId="19956A29" w14:textId="77777777" w:rsidR="009976F7" w:rsidRPr="00401EA3" w:rsidRDefault="009976F7"/>
        </w:tc>
      </w:tr>
      <w:tr w:rsidR="00B1348C" w:rsidRPr="00401EA3" w14:paraId="20B52713" w14:textId="77777777" w:rsidTr="000113B6">
        <w:trPr>
          <w:trHeight w:val="268"/>
        </w:trPr>
        <w:tc>
          <w:tcPr>
            <w:tcW w:w="3000" w:type="dxa"/>
            <w:tcBorders>
              <w:left w:val="single" w:sz="8" w:space="0" w:color="auto"/>
              <w:right w:val="single" w:sz="8" w:space="0" w:color="auto"/>
            </w:tcBorders>
            <w:vAlign w:val="bottom"/>
          </w:tcPr>
          <w:p w14:paraId="39171A5D" w14:textId="77777777" w:rsidR="00B1348C" w:rsidRPr="00401EA3" w:rsidRDefault="00B1348C"/>
        </w:tc>
        <w:tc>
          <w:tcPr>
            <w:tcW w:w="1420" w:type="dxa"/>
            <w:tcBorders>
              <w:right w:val="single" w:sz="8" w:space="0" w:color="auto"/>
            </w:tcBorders>
            <w:vAlign w:val="bottom"/>
          </w:tcPr>
          <w:p w14:paraId="465B418B" w14:textId="77777777" w:rsidR="00B1348C" w:rsidRPr="00401EA3" w:rsidRDefault="00B1348C"/>
        </w:tc>
        <w:tc>
          <w:tcPr>
            <w:tcW w:w="1420" w:type="dxa"/>
            <w:tcBorders>
              <w:right w:val="single" w:sz="8" w:space="0" w:color="auto"/>
            </w:tcBorders>
            <w:vAlign w:val="bottom"/>
          </w:tcPr>
          <w:p w14:paraId="35EE5095" w14:textId="77777777" w:rsidR="00B1348C" w:rsidRPr="00401EA3" w:rsidRDefault="005C28D5">
            <w:pPr>
              <w:spacing w:line="267" w:lineRule="exact"/>
              <w:ind w:left="100"/>
            </w:pPr>
            <w:r w:rsidRPr="00401EA3">
              <w:rPr>
                <w:rFonts w:eastAsia="Times New Roman"/>
              </w:rPr>
              <w:t>Konaklama</w:t>
            </w:r>
          </w:p>
        </w:tc>
        <w:tc>
          <w:tcPr>
            <w:tcW w:w="1140" w:type="dxa"/>
            <w:tcBorders>
              <w:right w:val="single" w:sz="8" w:space="0" w:color="auto"/>
            </w:tcBorders>
            <w:vAlign w:val="bottom"/>
          </w:tcPr>
          <w:p w14:paraId="12962ADD" w14:textId="77777777" w:rsidR="00B1348C" w:rsidRPr="00401EA3" w:rsidRDefault="005C28D5">
            <w:pPr>
              <w:spacing w:line="267" w:lineRule="exact"/>
              <w:ind w:left="100"/>
            </w:pPr>
            <w:r w:rsidRPr="00401EA3">
              <w:rPr>
                <w:rFonts w:eastAsia="Times New Roman"/>
              </w:rPr>
              <w:t>Yevmiye</w:t>
            </w:r>
          </w:p>
        </w:tc>
        <w:tc>
          <w:tcPr>
            <w:tcW w:w="1420" w:type="dxa"/>
            <w:gridSpan w:val="2"/>
            <w:tcBorders>
              <w:right w:val="single" w:sz="8" w:space="0" w:color="auto"/>
            </w:tcBorders>
            <w:vAlign w:val="bottom"/>
          </w:tcPr>
          <w:p w14:paraId="25F725BF" w14:textId="77777777" w:rsidR="00B1348C" w:rsidRPr="00401EA3" w:rsidRDefault="005C28D5">
            <w:pPr>
              <w:spacing w:line="267" w:lineRule="exact"/>
              <w:ind w:left="80"/>
            </w:pPr>
            <w:r w:rsidRPr="00401EA3">
              <w:rPr>
                <w:rFonts w:eastAsia="Times New Roman"/>
              </w:rPr>
              <w:t>Konaklama</w:t>
            </w:r>
          </w:p>
        </w:tc>
        <w:tc>
          <w:tcPr>
            <w:tcW w:w="1120" w:type="dxa"/>
            <w:gridSpan w:val="2"/>
            <w:tcBorders>
              <w:right w:val="single" w:sz="8" w:space="0" w:color="auto"/>
            </w:tcBorders>
            <w:vAlign w:val="bottom"/>
          </w:tcPr>
          <w:p w14:paraId="156FD27A" w14:textId="77777777" w:rsidR="00B1348C" w:rsidRPr="00401EA3" w:rsidRDefault="005C28D5">
            <w:pPr>
              <w:spacing w:line="267" w:lineRule="exact"/>
              <w:ind w:left="80"/>
            </w:pPr>
            <w:r w:rsidRPr="00401EA3">
              <w:rPr>
                <w:rFonts w:eastAsia="Times New Roman"/>
              </w:rPr>
              <w:t>Yevmiye</w:t>
            </w:r>
          </w:p>
        </w:tc>
        <w:tc>
          <w:tcPr>
            <w:tcW w:w="30" w:type="dxa"/>
            <w:vAlign w:val="bottom"/>
          </w:tcPr>
          <w:p w14:paraId="7DEA4DBC" w14:textId="77777777" w:rsidR="00B1348C" w:rsidRPr="00401EA3" w:rsidRDefault="00B1348C"/>
        </w:tc>
      </w:tr>
      <w:tr w:rsidR="00B1348C" w:rsidRPr="00401EA3" w14:paraId="34BE7977" w14:textId="77777777" w:rsidTr="000113B6">
        <w:trPr>
          <w:trHeight w:val="60"/>
        </w:trPr>
        <w:tc>
          <w:tcPr>
            <w:tcW w:w="3000" w:type="dxa"/>
            <w:tcBorders>
              <w:left w:val="single" w:sz="8" w:space="0" w:color="auto"/>
              <w:bottom w:val="single" w:sz="8" w:space="0" w:color="auto"/>
              <w:right w:val="single" w:sz="8" w:space="0" w:color="auto"/>
            </w:tcBorders>
            <w:vAlign w:val="bottom"/>
          </w:tcPr>
          <w:p w14:paraId="60A8CE74" w14:textId="77777777" w:rsidR="00B1348C" w:rsidRPr="00401EA3" w:rsidRDefault="00B1348C"/>
        </w:tc>
        <w:tc>
          <w:tcPr>
            <w:tcW w:w="1420" w:type="dxa"/>
            <w:tcBorders>
              <w:bottom w:val="single" w:sz="8" w:space="0" w:color="auto"/>
              <w:right w:val="single" w:sz="8" w:space="0" w:color="auto"/>
            </w:tcBorders>
            <w:vAlign w:val="bottom"/>
          </w:tcPr>
          <w:p w14:paraId="47052E14" w14:textId="77777777" w:rsidR="00B1348C" w:rsidRPr="00401EA3" w:rsidRDefault="00B1348C"/>
        </w:tc>
        <w:tc>
          <w:tcPr>
            <w:tcW w:w="1420" w:type="dxa"/>
            <w:tcBorders>
              <w:bottom w:val="single" w:sz="8" w:space="0" w:color="auto"/>
              <w:right w:val="single" w:sz="8" w:space="0" w:color="auto"/>
            </w:tcBorders>
            <w:vAlign w:val="bottom"/>
          </w:tcPr>
          <w:p w14:paraId="2CC58B5C" w14:textId="77777777" w:rsidR="00B1348C" w:rsidRPr="00401EA3" w:rsidRDefault="00B1348C"/>
        </w:tc>
        <w:tc>
          <w:tcPr>
            <w:tcW w:w="1140" w:type="dxa"/>
            <w:tcBorders>
              <w:bottom w:val="single" w:sz="8" w:space="0" w:color="auto"/>
              <w:right w:val="single" w:sz="8" w:space="0" w:color="auto"/>
            </w:tcBorders>
            <w:vAlign w:val="bottom"/>
          </w:tcPr>
          <w:p w14:paraId="318016F3" w14:textId="77777777" w:rsidR="00B1348C" w:rsidRPr="00401EA3" w:rsidRDefault="00B1348C"/>
        </w:tc>
        <w:tc>
          <w:tcPr>
            <w:tcW w:w="480" w:type="dxa"/>
            <w:tcBorders>
              <w:bottom w:val="single" w:sz="8" w:space="0" w:color="auto"/>
            </w:tcBorders>
            <w:vAlign w:val="bottom"/>
          </w:tcPr>
          <w:p w14:paraId="19FD298B" w14:textId="77777777" w:rsidR="00B1348C" w:rsidRPr="00401EA3" w:rsidRDefault="00B1348C"/>
        </w:tc>
        <w:tc>
          <w:tcPr>
            <w:tcW w:w="940" w:type="dxa"/>
            <w:tcBorders>
              <w:bottom w:val="single" w:sz="8" w:space="0" w:color="auto"/>
              <w:right w:val="single" w:sz="8" w:space="0" w:color="auto"/>
            </w:tcBorders>
            <w:vAlign w:val="bottom"/>
          </w:tcPr>
          <w:p w14:paraId="202F74FE" w14:textId="77777777" w:rsidR="00B1348C" w:rsidRPr="00401EA3" w:rsidRDefault="00B1348C"/>
        </w:tc>
        <w:tc>
          <w:tcPr>
            <w:tcW w:w="480" w:type="dxa"/>
            <w:tcBorders>
              <w:bottom w:val="single" w:sz="8" w:space="0" w:color="auto"/>
            </w:tcBorders>
            <w:vAlign w:val="bottom"/>
          </w:tcPr>
          <w:p w14:paraId="57A7F04A" w14:textId="77777777" w:rsidR="00B1348C" w:rsidRPr="00401EA3" w:rsidRDefault="00B1348C"/>
        </w:tc>
        <w:tc>
          <w:tcPr>
            <w:tcW w:w="640" w:type="dxa"/>
            <w:tcBorders>
              <w:bottom w:val="single" w:sz="8" w:space="0" w:color="auto"/>
              <w:right w:val="single" w:sz="8" w:space="0" w:color="auto"/>
            </w:tcBorders>
            <w:vAlign w:val="bottom"/>
          </w:tcPr>
          <w:p w14:paraId="60BA33AD" w14:textId="77777777" w:rsidR="00B1348C" w:rsidRPr="00401EA3" w:rsidRDefault="00B1348C"/>
        </w:tc>
        <w:tc>
          <w:tcPr>
            <w:tcW w:w="30" w:type="dxa"/>
            <w:vAlign w:val="bottom"/>
          </w:tcPr>
          <w:p w14:paraId="625D6A28" w14:textId="77777777" w:rsidR="00B1348C" w:rsidRPr="00401EA3" w:rsidRDefault="00B1348C"/>
        </w:tc>
      </w:tr>
      <w:tr w:rsidR="000113B6" w:rsidRPr="00401EA3" w14:paraId="20A14846" w14:textId="77777777" w:rsidTr="002F19B7">
        <w:trPr>
          <w:trHeight w:val="268"/>
        </w:trPr>
        <w:tc>
          <w:tcPr>
            <w:tcW w:w="3000" w:type="dxa"/>
            <w:vMerge w:val="restart"/>
            <w:tcBorders>
              <w:left w:val="single" w:sz="8" w:space="0" w:color="auto"/>
              <w:right w:val="single" w:sz="8" w:space="0" w:color="auto"/>
            </w:tcBorders>
            <w:vAlign w:val="bottom"/>
          </w:tcPr>
          <w:p w14:paraId="0A46AA84" w14:textId="77777777" w:rsidR="000113B6" w:rsidRPr="00401EA3" w:rsidRDefault="000113B6">
            <w:pPr>
              <w:spacing w:line="267" w:lineRule="exact"/>
              <w:ind w:left="120"/>
            </w:pPr>
            <w:r w:rsidRPr="00401EA3">
              <w:rPr>
                <w:rFonts w:eastAsia="Times New Roman"/>
              </w:rPr>
              <w:t>Rektör</w:t>
            </w:r>
          </w:p>
        </w:tc>
        <w:tc>
          <w:tcPr>
            <w:tcW w:w="1420" w:type="dxa"/>
            <w:vMerge w:val="restart"/>
            <w:tcBorders>
              <w:right w:val="single" w:sz="8" w:space="0" w:color="auto"/>
            </w:tcBorders>
            <w:vAlign w:val="bottom"/>
          </w:tcPr>
          <w:p w14:paraId="54084D17" w14:textId="77777777" w:rsidR="000113B6" w:rsidRPr="00401EA3" w:rsidRDefault="000113B6">
            <w:pPr>
              <w:ind w:left="100"/>
            </w:pPr>
            <w:r w:rsidRPr="00401EA3">
              <w:rPr>
                <w:rFonts w:eastAsia="Times New Roman"/>
              </w:rPr>
              <w:t>1. Grup</w:t>
            </w:r>
          </w:p>
        </w:tc>
        <w:tc>
          <w:tcPr>
            <w:tcW w:w="1420" w:type="dxa"/>
            <w:vMerge w:val="restart"/>
            <w:tcBorders>
              <w:right w:val="single" w:sz="8" w:space="0" w:color="auto"/>
            </w:tcBorders>
            <w:vAlign w:val="bottom"/>
          </w:tcPr>
          <w:p w14:paraId="5D823B9A" w14:textId="0ABED69D" w:rsidR="000113B6" w:rsidRPr="00401EA3" w:rsidRDefault="009976F7">
            <w:pPr>
              <w:ind w:left="100"/>
            </w:pPr>
            <w:r>
              <w:rPr>
                <w:rFonts w:eastAsia="Times New Roman"/>
              </w:rPr>
              <w:t>9</w:t>
            </w:r>
            <w:r w:rsidR="000113B6" w:rsidRPr="00401EA3">
              <w:rPr>
                <w:rFonts w:eastAsia="Times New Roman"/>
              </w:rPr>
              <w:t>00 TL</w:t>
            </w:r>
          </w:p>
        </w:tc>
        <w:tc>
          <w:tcPr>
            <w:tcW w:w="1140" w:type="dxa"/>
            <w:vMerge w:val="restart"/>
            <w:tcBorders>
              <w:right w:val="single" w:sz="8" w:space="0" w:color="auto"/>
            </w:tcBorders>
            <w:vAlign w:val="bottom"/>
          </w:tcPr>
          <w:p w14:paraId="68357163" w14:textId="30C4596E" w:rsidR="000113B6" w:rsidRPr="00401EA3" w:rsidRDefault="009976F7">
            <w:pPr>
              <w:ind w:left="100"/>
            </w:pPr>
            <w:r>
              <w:rPr>
                <w:rFonts w:eastAsia="Times New Roman"/>
              </w:rPr>
              <w:t>75</w:t>
            </w:r>
            <w:r w:rsidR="000113B6" w:rsidRPr="00401EA3">
              <w:rPr>
                <w:rFonts w:eastAsia="Times New Roman"/>
              </w:rPr>
              <w:t>0 TL</w:t>
            </w:r>
          </w:p>
        </w:tc>
        <w:tc>
          <w:tcPr>
            <w:tcW w:w="1420" w:type="dxa"/>
            <w:gridSpan w:val="2"/>
            <w:vMerge w:val="restart"/>
            <w:tcBorders>
              <w:right w:val="single" w:sz="8" w:space="0" w:color="auto"/>
            </w:tcBorders>
            <w:vAlign w:val="bottom"/>
          </w:tcPr>
          <w:p w14:paraId="654BD920" w14:textId="77777777" w:rsidR="000113B6" w:rsidRPr="00401EA3" w:rsidRDefault="000113B6" w:rsidP="000113B6">
            <w:pPr>
              <w:ind w:left="80"/>
            </w:pPr>
            <w:r w:rsidRPr="00401EA3">
              <w:rPr>
                <w:rFonts w:eastAsia="Times New Roman"/>
              </w:rPr>
              <w:t>400</w:t>
            </w:r>
            <w:r w:rsidRPr="00401EA3">
              <w:t xml:space="preserve"> </w:t>
            </w:r>
            <w:r w:rsidRPr="00401EA3">
              <w:rPr>
                <w:rFonts w:eastAsia="Times New Roman"/>
                <w:w w:val="99"/>
              </w:rPr>
              <w:t>$</w:t>
            </w:r>
          </w:p>
        </w:tc>
        <w:tc>
          <w:tcPr>
            <w:tcW w:w="1120" w:type="dxa"/>
            <w:gridSpan w:val="2"/>
            <w:vMerge w:val="restart"/>
            <w:tcBorders>
              <w:left w:val="single" w:sz="8" w:space="0" w:color="auto"/>
              <w:right w:val="single" w:sz="8" w:space="0" w:color="auto"/>
            </w:tcBorders>
            <w:vAlign w:val="bottom"/>
          </w:tcPr>
          <w:p w14:paraId="29D58BA0" w14:textId="77777777" w:rsidR="000113B6" w:rsidRPr="00401EA3" w:rsidRDefault="000113B6" w:rsidP="000113B6">
            <w:pPr>
              <w:ind w:left="80"/>
            </w:pPr>
            <w:r w:rsidRPr="00401EA3">
              <w:rPr>
                <w:rFonts w:eastAsia="Times New Roman"/>
              </w:rPr>
              <w:t>250</w:t>
            </w:r>
            <w:r w:rsidRPr="00401EA3">
              <w:t xml:space="preserve"> </w:t>
            </w:r>
            <w:r w:rsidRPr="00401EA3">
              <w:rPr>
                <w:rFonts w:eastAsia="Times New Roman"/>
                <w:w w:val="99"/>
              </w:rPr>
              <w:t>$</w:t>
            </w:r>
          </w:p>
        </w:tc>
        <w:tc>
          <w:tcPr>
            <w:tcW w:w="30" w:type="dxa"/>
            <w:tcBorders>
              <w:left w:val="single" w:sz="8" w:space="0" w:color="auto"/>
            </w:tcBorders>
            <w:vAlign w:val="bottom"/>
          </w:tcPr>
          <w:p w14:paraId="005A3B4A" w14:textId="77777777" w:rsidR="000113B6" w:rsidRPr="00401EA3" w:rsidRDefault="000113B6"/>
        </w:tc>
      </w:tr>
      <w:tr w:rsidR="000113B6" w:rsidRPr="00401EA3" w14:paraId="3EDEA099" w14:textId="77777777" w:rsidTr="002F19B7">
        <w:trPr>
          <w:trHeight w:val="190"/>
        </w:trPr>
        <w:tc>
          <w:tcPr>
            <w:tcW w:w="3000" w:type="dxa"/>
            <w:vMerge/>
            <w:tcBorders>
              <w:left w:val="single" w:sz="8" w:space="0" w:color="auto"/>
              <w:right w:val="single" w:sz="8" w:space="0" w:color="auto"/>
            </w:tcBorders>
            <w:vAlign w:val="bottom"/>
          </w:tcPr>
          <w:p w14:paraId="665E565B" w14:textId="77777777" w:rsidR="000113B6" w:rsidRPr="00401EA3" w:rsidRDefault="000113B6" w:rsidP="000113B6"/>
        </w:tc>
        <w:tc>
          <w:tcPr>
            <w:tcW w:w="1420" w:type="dxa"/>
            <w:vMerge/>
            <w:tcBorders>
              <w:right w:val="single" w:sz="8" w:space="0" w:color="auto"/>
            </w:tcBorders>
            <w:vAlign w:val="bottom"/>
          </w:tcPr>
          <w:p w14:paraId="4C23E0BC" w14:textId="77777777" w:rsidR="000113B6" w:rsidRPr="00401EA3" w:rsidRDefault="000113B6"/>
        </w:tc>
        <w:tc>
          <w:tcPr>
            <w:tcW w:w="1420" w:type="dxa"/>
            <w:vMerge/>
            <w:tcBorders>
              <w:right w:val="single" w:sz="8" w:space="0" w:color="auto"/>
            </w:tcBorders>
            <w:vAlign w:val="bottom"/>
          </w:tcPr>
          <w:p w14:paraId="177179EB" w14:textId="77777777" w:rsidR="000113B6" w:rsidRPr="00401EA3" w:rsidRDefault="000113B6"/>
        </w:tc>
        <w:tc>
          <w:tcPr>
            <w:tcW w:w="1140" w:type="dxa"/>
            <w:vMerge/>
            <w:tcBorders>
              <w:right w:val="single" w:sz="8" w:space="0" w:color="auto"/>
            </w:tcBorders>
            <w:vAlign w:val="bottom"/>
          </w:tcPr>
          <w:p w14:paraId="775EFC3E" w14:textId="77777777" w:rsidR="000113B6" w:rsidRPr="00401EA3" w:rsidRDefault="000113B6"/>
        </w:tc>
        <w:tc>
          <w:tcPr>
            <w:tcW w:w="1420" w:type="dxa"/>
            <w:gridSpan w:val="2"/>
            <w:vMerge/>
            <w:tcBorders>
              <w:right w:val="single" w:sz="8" w:space="0" w:color="auto"/>
            </w:tcBorders>
            <w:vAlign w:val="bottom"/>
          </w:tcPr>
          <w:p w14:paraId="11FFC87E" w14:textId="77777777" w:rsidR="000113B6" w:rsidRPr="00401EA3" w:rsidRDefault="000113B6"/>
        </w:tc>
        <w:tc>
          <w:tcPr>
            <w:tcW w:w="1120" w:type="dxa"/>
            <w:gridSpan w:val="2"/>
            <w:vMerge/>
            <w:tcBorders>
              <w:left w:val="single" w:sz="8" w:space="0" w:color="auto"/>
              <w:right w:val="single" w:sz="8" w:space="0" w:color="auto"/>
            </w:tcBorders>
            <w:vAlign w:val="bottom"/>
          </w:tcPr>
          <w:p w14:paraId="1CBB47E4" w14:textId="77777777" w:rsidR="000113B6" w:rsidRPr="00401EA3" w:rsidRDefault="000113B6"/>
        </w:tc>
        <w:tc>
          <w:tcPr>
            <w:tcW w:w="30" w:type="dxa"/>
            <w:tcBorders>
              <w:left w:val="single" w:sz="8" w:space="0" w:color="auto"/>
            </w:tcBorders>
            <w:vAlign w:val="bottom"/>
          </w:tcPr>
          <w:p w14:paraId="57C1BF8E" w14:textId="77777777" w:rsidR="000113B6" w:rsidRPr="00401EA3" w:rsidRDefault="000113B6"/>
        </w:tc>
      </w:tr>
      <w:tr w:rsidR="000113B6" w:rsidRPr="00401EA3" w14:paraId="43E8A82B" w14:textId="77777777" w:rsidTr="002F19B7">
        <w:trPr>
          <w:trHeight w:val="190"/>
        </w:trPr>
        <w:tc>
          <w:tcPr>
            <w:tcW w:w="3000" w:type="dxa"/>
            <w:vMerge/>
            <w:tcBorders>
              <w:left w:val="single" w:sz="8" w:space="0" w:color="auto"/>
              <w:right w:val="single" w:sz="8" w:space="0" w:color="auto"/>
            </w:tcBorders>
            <w:vAlign w:val="bottom"/>
          </w:tcPr>
          <w:p w14:paraId="7DC3EAA4" w14:textId="77777777" w:rsidR="000113B6" w:rsidRPr="00401EA3" w:rsidRDefault="000113B6"/>
        </w:tc>
        <w:tc>
          <w:tcPr>
            <w:tcW w:w="1420" w:type="dxa"/>
            <w:vMerge/>
            <w:tcBorders>
              <w:right w:val="single" w:sz="8" w:space="0" w:color="auto"/>
            </w:tcBorders>
            <w:vAlign w:val="bottom"/>
          </w:tcPr>
          <w:p w14:paraId="600D8658" w14:textId="77777777" w:rsidR="000113B6" w:rsidRPr="00401EA3" w:rsidRDefault="000113B6"/>
        </w:tc>
        <w:tc>
          <w:tcPr>
            <w:tcW w:w="1420" w:type="dxa"/>
            <w:vMerge/>
            <w:tcBorders>
              <w:right w:val="single" w:sz="8" w:space="0" w:color="auto"/>
            </w:tcBorders>
            <w:vAlign w:val="bottom"/>
          </w:tcPr>
          <w:p w14:paraId="01E7C60C" w14:textId="77777777" w:rsidR="000113B6" w:rsidRPr="00401EA3" w:rsidRDefault="000113B6"/>
        </w:tc>
        <w:tc>
          <w:tcPr>
            <w:tcW w:w="1140" w:type="dxa"/>
            <w:vMerge/>
            <w:tcBorders>
              <w:right w:val="single" w:sz="8" w:space="0" w:color="auto"/>
            </w:tcBorders>
            <w:vAlign w:val="bottom"/>
          </w:tcPr>
          <w:p w14:paraId="33A5794D" w14:textId="77777777" w:rsidR="000113B6" w:rsidRPr="00401EA3" w:rsidRDefault="000113B6"/>
        </w:tc>
        <w:tc>
          <w:tcPr>
            <w:tcW w:w="1420" w:type="dxa"/>
            <w:gridSpan w:val="2"/>
            <w:vMerge/>
            <w:tcBorders>
              <w:right w:val="single" w:sz="8" w:space="0" w:color="auto"/>
            </w:tcBorders>
            <w:vAlign w:val="bottom"/>
          </w:tcPr>
          <w:p w14:paraId="6E2B48A1" w14:textId="77777777" w:rsidR="000113B6" w:rsidRPr="00401EA3" w:rsidRDefault="000113B6"/>
        </w:tc>
        <w:tc>
          <w:tcPr>
            <w:tcW w:w="1120" w:type="dxa"/>
            <w:gridSpan w:val="2"/>
            <w:vMerge/>
            <w:tcBorders>
              <w:left w:val="single" w:sz="8" w:space="0" w:color="auto"/>
              <w:right w:val="single" w:sz="8" w:space="0" w:color="auto"/>
            </w:tcBorders>
            <w:vAlign w:val="bottom"/>
          </w:tcPr>
          <w:p w14:paraId="0D8E282D" w14:textId="77777777" w:rsidR="000113B6" w:rsidRPr="00401EA3" w:rsidRDefault="000113B6"/>
        </w:tc>
        <w:tc>
          <w:tcPr>
            <w:tcW w:w="30" w:type="dxa"/>
            <w:tcBorders>
              <w:left w:val="single" w:sz="8" w:space="0" w:color="auto"/>
            </w:tcBorders>
            <w:vAlign w:val="bottom"/>
          </w:tcPr>
          <w:p w14:paraId="21A7F82D" w14:textId="77777777" w:rsidR="000113B6" w:rsidRPr="00401EA3" w:rsidRDefault="000113B6"/>
        </w:tc>
      </w:tr>
      <w:tr w:rsidR="00B1348C" w:rsidRPr="00401EA3" w14:paraId="205AEADE" w14:textId="77777777" w:rsidTr="000113B6">
        <w:trPr>
          <w:trHeight w:val="80"/>
        </w:trPr>
        <w:tc>
          <w:tcPr>
            <w:tcW w:w="3000" w:type="dxa"/>
            <w:tcBorders>
              <w:left w:val="single" w:sz="8" w:space="0" w:color="auto"/>
              <w:bottom w:val="single" w:sz="8" w:space="0" w:color="auto"/>
              <w:right w:val="single" w:sz="8" w:space="0" w:color="auto"/>
            </w:tcBorders>
            <w:vAlign w:val="bottom"/>
          </w:tcPr>
          <w:p w14:paraId="4F8860F2" w14:textId="77777777" w:rsidR="00B1348C" w:rsidRPr="00401EA3" w:rsidRDefault="00B1348C"/>
        </w:tc>
        <w:tc>
          <w:tcPr>
            <w:tcW w:w="1420" w:type="dxa"/>
            <w:tcBorders>
              <w:bottom w:val="single" w:sz="8" w:space="0" w:color="auto"/>
              <w:right w:val="single" w:sz="8" w:space="0" w:color="auto"/>
            </w:tcBorders>
            <w:vAlign w:val="bottom"/>
          </w:tcPr>
          <w:p w14:paraId="3DFC1043" w14:textId="77777777" w:rsidR="00B1348C" w:rsidRPr="00401EA3" w:rsidRDefault="00B1348C"/>
        </w:tc>
        <w:tc>
          <w:tcPr>
            <w:tcW w:w="1420" w:type="dxa"/>
            <w:tcBorders>
              <w:bottom w:val="single" w:sz="8" w:space="0" w:color="auto"/>
              <w:right w:val="single" w:sz="8" w:space="0" w:color="auto"/>
            </w:tcBorders>
            <w:vAlign w:val="bottom"/>
          </w:tcPr>
          <w:p w14:paraId="0A08A6D8" w14:textId="77777777" w:rsidR="00B1348C" w:rsidRPr="00401EA3" w:rsidRDefault="00B1348C"/>
        </w:tc>
        <w:tc>
          <w:tcPr>
            <w:tcW w:w="1140" w:type="dxa"/>
            <w:tcBorders>
              <w:bottom w:val="single" w:sz="8" w:space="0" w:color="auto"/>
              <w:right w:val="single" w:sz="8" w:space="0" w:color="auto"/>
            </w:tcBorders>
            <w:vAlign w:val="bottom"/>
          </w:tcPr>
          <w:p w14:paraId="08F57168" w14:textId="77777777" w:rsidR="00B1348C" w:rsidRPr="00401EA3" w:rsidRDefault="00B1348C"/>
        </w:tc>
        <w:tc>
          <w:tcPr>
            <w:tcW w:w="480" w:type="dxa"/>
            <w:tcBorders>
              <w:bottom w:val="single" w:sz="8" w:space="0" w:color="auto"/>
            </w:tcBorders>
            <w:vAlign w:val="bottom"/>
          </w:tcPr>
          <w:p w14:paraId="4B0C5A74" w14:textId="77777777" w:rsidR="00B1348C" w:rsidRPr="00401EA3" w:rsidRDefault="00B1348C"/>
        </w:tc>
        <w:tc>
          <w:tcPr>
            <w:tcW w:w="940" w:type="dxa"/>
            <w:tcBorders>
              <w:bottom w:val="single" w:sz="8" w:space="0" w:color="auto"/>
              <w:right w:val="single" w:sz="8" w:space="0" w:color="auto"/>
            </w:tcBorders>
            <w:vAlign w:val="bottom"/>
          </w:tcPr>
          <w:p w14:paraId="33F6EC68" w14:textId="77777777" w:rsidR="00B1348C" w:rsidRPr="00401EA3" w:rsidRDefault="00B1348C"/>
        </w:tc>
        <w:tc>
          <w:tcPr>
            <w:tcW w:w="480" w:type="dxa"/>
            <w:tcBorders>
              <w:bottom w:val="single" w:sz="8" w:space="0" w:color="auto"/>
            </w:tcBorders>
            <w:vAlign w:val="bottom"/>
          </w:tcPr>
          <w:p w14:paraId="22D82A93" w14:textId="77777777" w:rsidR="00B1348C" w:rsidRPr="00401EA3" w:rsidRDefault="00B1348C"/>
        </w:tc>
        <w:tc>
          <w:tcPr>
            <w:tcW w:w="640" w:type="dxa"/>
            <w:tcBorders>
              <w:bottom w:val="single" w:sz="8" w:space="0" w:color="auto"/>
              <w:right w:val="single" w:sz="8" w:space="0" w:color="auto"/>
            </w:tcBorders>
            <w:vAlign w:val="bottom"/>
          </w:tcPr>
          <w:p w14:paraId="59E6063E" w14:textId="77777777" w:rsidR="00B1348C" w:rsidRPr="00401EA3" w:rsidRDefault="00B1348C"/>
        </w:tc>
        <w:tc>
          <w:tcPr>
            <w:tcW w:w="30" w:type="dxa"/>
            <w:vAlign w:val="bottom"/>
          </w:tcPr>
          <w:p w14:paraId="688A653E" w14:textId="77777777" w:rsidR="00B1348C" w:rsidRPr="00401EA3" w:rsidRDefault="00B1348C"/>
        </w:tc>
      </w:tr>
      <w:tr w:rsidR="009976F7" w:rsidRPr="00401EA3" w14:paraId="75BC1631" w14:textId="77777777" w:rsidTr="000113B6">
        <w:trPr>
          <w:trHeight w:val="270"/>
        </w:trPr>
        <w:tc>
          <w:tcPr>
            <w:tcW w:w="3000" w:type="dxa"/>
            <w:vMerge w:val="restart"/>
            <w:tcBorders>
              <w:left w:val="single" w:sz="8" w:space="0" w:color="auto"/>
              <w:right w:val="single" w:sz="8" w:space="0" w:color="auto"/>
            </w:tcBorders>
            <w:vAlign w:val="bottom"/>
          </w:tcPr>
          <w:p w14:paraId="44E232BE" w14:textId="77777777" w:rsidR="009976F7" w:rsidRPr="00401EA3" w:rsidRDefault="009976F7">
            <w:pPr>
              <w:spacing w:line="270" w:lineRule="exact"/>
              <w:ind w:left="120"/>
            </w:pPr>
            <w:r w:rsidRPr="00401EA3">
              <w:rPr>
                <w:rFonts w:eastAsia="Times New Roman"/>
              </w:rPr>
              <w:t>Dekanlar</w:t>
            </w:r>
          </w:p>
          <w:p w14:paraId="34C183E8" w14:textId="77777777" w:rsidR="009976F7" w:rsidRPr="00401EA3" w:rsidRDefault="009976F7">
            <w:pPr>
              <w:ind w:left="120"/>
            </w:pPr>
            <w:r w:rsidRPr="00401EA3">
              <w:rPr>
                <w:rFonts w:eastAsia="Times New Roman"/>
              </w:rPr>
              <w:t>Profesörler</w:t>
            </w:r>
          </w:p>
          <w:p w14:paraId="3CBA1EAE" w14:textId="77777777" w:rsidR="009976F7" w:rsidRDefault="009976F7" w:rsidP="006E4E0D">
            <w:pPr>
              <w:ind w:left="120"/>
              <w:rPr>
                <w:rFonts w:eastAsia="Times New Roman"/>
              </w:rPr>
            </w:pPr>
            <w:r w:rsidRPr="00401EA3">
              <w:rPr>
                <w:rFonts w:eastAsia="Times New Roman"/>
              </w:rPr>
              <w:t>Genel Sekreter</w:t>
            </w:r>
          </w:p>
          <w:p w14:paraId="5AF11D57" w14:textId="03ADC70E" w:rsidR="009976F7" w:rsidRPr="00401EA3" w:rsidRDefault="009976F7" w:rsidP="006E4E0D">
            <w:pPr>
              <w:ind w:left="120"/>
            </w:pPr>
          </w:p>
        </w:tc>
        <w:tc>
          <w:tcPr>
            <w:tcW w:w="1420" w:type="dxa"/>
            <w:tcBorders>
              <w:right w:val="single" w:sz="8" w:space="0" w:color="auto"/>
            </w:tcBorders>
            <w:vAlign w:val="bottom"/>
          </w:tcPr>
          <w:p w14:paraId="6EFF7283" w14:textId="77777777" w:rsidR="009976F7" w:rsidRPr="00401EA3" w:rsidRDefault="009976F7"/>
        </w:tc>
        <w:tc>
          <w:tcPr>
            <w:tcW w:w="1420" w:type="dxa"/>
            <w:tcBorders>
              <w:right w:val="single" w:sz="8" w:space="0" w:color="auto"/>
            </w:tcBorders>
            <w:vAlign w:val="bottom"/>
          </w:tcPr>
          <w:p w14:paraId="58D8F89C" w14:textId="77777777" w:rsidR="009976F7" w:rsidRPr="00401EA3" w:rsidRDefault="009976F7"/>
        </w:tc>
        <w:tc>
          <w:tcPr>
            <w:tcW w:w="1140" w:type="dxa"/>
            <w:tcBorders>
              <w:right w:val="single" w:sz="8" w:space="0" w:color="auto"/>
            </w:tcBorders>
            <w:vAlign w:val="bottom"/>
          </w:tcPr>
          <w:p w14:paraId="16C65D9A" w14:textId="77777777" w:rsidR="009976F7" w:rsidRPr="00401EA3" w:rsidRDefault="009976F7"/>
        </w:tc>
        <w:tc>
          <w:tcPr>
            <w:tcW w:w="480" w:type="dxa"/>
            <w:vAlign w:val="bottom"/>
          </w:tcPr>
          <w:p w14:paraId="5301AA1F" w14:textId="77777777" w:rsidR="009976F7" w:rsidRPr="00401EA3" w:rsidRDefault="009976F7"/>
        </w:tc>
        <w:tc>
          <w:tcPr>
            <w:tcW w:w="940" w:type="dxa"/>
            <w:tcBorders>
              <w:right w:val="single" w:sz="8" w:space="0" w:color="auto"/>
            </w:tcBorders>
            <w:vAlign w:val="bottom"/>
          </w:tcPr>
          <w:p w14:paraId="01E8448D" w14:textId="77777777" w:rsidR="009976F7" w:rsidRPr="00401EA3" w:rsidRDefault="009976F7"/>
        </w:tc>
        <w:tc>
          <w:tcPr>
            <w:tcW w:w="480" w:type="dxa"/>
            <w:vAlign w:val="bottom"/>
          </w:tcPr>
          <w:p w14:paraId="469A8E2B" w14:textId="77777777" w:rsidR="009976F7" w:rsidRPr="00401EA3" w:rsidRDefault="009976F7"/>
        </w:tc>
        <w:tc>
          <w:tcPr>
            <w:tcW w:w="640" w:type="dxa"/>
            <w:tcBorders>
              <w:right w:val="single" w:sz="8" w:space="0" w:color="auto"/>
            </w:tcBorders>
            <w:vAlign w:val="bottom"/>
          </w:tcPr>
          <w:p w14:paraId="324CE343" w14:textId="77777777" w:rsidR="009976F7" w:rsidRPr="00401EA3" w:rsidRDefault="009976F7"/>
        </w:tc>
        <w:tc>
          <w:tcPr>
            <w:tcW w:w="30" w:type="dxa"/>
            <w:vAlign w:val="bottom"/>
          </w:tcPr>
          <w:p w14:paraId="4AB75170" w14:textId="77777777" w:rsidR="009976F7" w:rsidRPr="00401EA3" w:rsidRDefault="009976F7"/>
        </w:tc>
      </w:tr>
      <w:tr w:rsidR="009976F7" w:rsidRPr="00401EA3" w14:paraId="7EAC3DB0" w14:textId="77777777" w:rsidTr="000113B6">
        <w:trPr>
          <w:trHeight w:val="377"/>
        </w:trPr>
        <w:tc>
          <w:tcPr>
            <w:tcW w:w="3000" w:type="dxa"/>
            <w:vMerge/>
            <w:tcBorders>
              <w:left w:val="single" w:sz="8" w:space="0" w:color="auto"/>
              <w:right w:val="single" w:sz="8" w:space="0" w:color="auto"/>
            </w:tcBorders>
            <w:vAlign w:val="bottom"/>
          </w:tcPr>
          <w:p w14:paraId="4BAC5434" w14:textId="21368D94" w:rsidR="009976F7" w:rsidRPr="00401EA3" w:rsidRDefault="009976F7" w:rsidP="006E4E0D">
            <w:pPr>
              <w:ind w:left="120"/>
            </w:pPr>
          </w:p>
        </w:tc>
        <w:tc>
          <w:tcPr>
            <w:tcW w:w="1420" w:type="dxa"/>
            <w:tcBorders>
              <w:right w:val="single" w:sz="8" w:space="0" w:color="auto"/>
            </w:tcBorders>
            <w:vAlign w:val="bottom"/>
          </w:tcPr>
          <w:p w14:paraId="2D273937" w14:textId="77777777" w:rsidR="009976F7" w:rsidRPr="00401EA3" w:rsidRDefault="009976F7">
            <w:pPr>
              <w:ind w:left="100"/>
            </w:pPr>
            <w:r w:rsidRPr="00401EA3">
              <w:rPr>
                <w:rFonts w:eastAsia="Times New Roman"/>
              </w:rPr>
              <w:t>2. Grup</w:t>
            </w:r>
          </w:p>
        </w:tc>
        <w:tc>
          <w:tcPr>
            <w:tcW w:w="1420" w:type="dxa"/>
            <w:tcBorders>
              <w:right w:val="single" w:sz="8" w:space="0" w:color="auto"/>
            </w:tcBorders>
            <w:vAlign w:val="bottom"/>
          </w:tcPr>
          <w:p w14:paraId="54CAC327" w14:textId="590C64FB" w:rsidR="009976F7" w:rsidRPr="00401EA3" w:rsidRDefault="009976F7">
            <w:pPr>
              <w:ind w:left="100"/>
            </w:pPr>
            <w:r>
              <w:rPr>
                <w:rFonts w:eastAsia="Times New Roman"/>
              </w:rPr>
              <w:t>6</w:t>
            </w:r>
            <w:r w:rsidRPr="00401EA3">
              <w:rPr>
                <w:rFonts w:eastAsia="Times New Roman"/>
              </w:rPr>
              <w:t>00 TL</w:t>
            </w:r>
          </w:p>
        </w:tc>
        <w:tc>
          <w:tcPr>
            <w:tcW w:w="1140" w:type="dxa"/>
            <w:tcBorders>
              <w:right w:val="single" w:sz="8" w:space="0" w:color="auto"/>
            </w:tcBorders>
            <w:vAlign w:val="bottom"/>
          </w:tcPr>
          <w:p w14:paraId="01AD96A6" w14:textId="60BD1719" w:rsidR="009976F7" w:rsidRPr="00401EA3" w:rsidRDefault="009976F7">
            <w:pPr>
              <w:ind w:left="100"/>
            </w:pPr>
            <w:r>
              <w:rPr>
                <w:rFonts w:eastAsia="Times New Roman"/>
              </w:rPr>
              <w:t>600</w:t>
            </w:r>
            <w:r w:rsidRPr="00401EA3">
              <w:rPr>
                <w:rFonts w:eastAsia="Times New Roman"/>
              </w:rPr>
              <w:t xml:space="preserve"> TL</w:t>
            </w:r>
          </w:p>
        </w:tc>
        <w:tc>
          <w:tcPr>
            <w:tcW w:w="480" w:type="dxa"/>
            <w:vAlign w:val="bottom"/>
          </w:tcPr>
          <w:p w14:paraId="7B790BDC" w14:textId="77777777" w:rsidR="009976F7" w:rsidRPr="00401EA3" w:rsidRDefault="009976F7">
            <w:pPr>
              <w:ind w:left="80"/>
            </w:pPr>
            <w:r w:rsidRPr="00401EA3">
              <w:rPr>
                <w:rFonts w:eastAsia="Times New Roman"/>
              </w:rPr>
              <w:t>250</w:t>
            </w:r>
          </w:p>
        </w:tc>
        <w:tc>
          <w:tcPr>
            <w:tcW w:w="940" w:type="dxa"/>
            <w:tcBorders>
              <w:right w:val="single" w:sz="8" w:space="0" w:color="auto"/>
            </w:tcBorders>
            <w:vAlign w:val="bottom"/>
          </w:tcPr>
          <w:p w14:paraId="6DC8E18B" w14:textId="77777777" w:rsidR="009976F7" w:rsidRPr="00401EA3" w:rsidRDefault="009976F7" w:rsidP="000113B6">
            <w:pPr>
              <w:ind w:right="680"/>
            </w:pPr>
            <w:r w:rsidRPr="00401EA3">
              <w:rPr>
                <w:rFonts w:eastAsia="Times New Roman"/>
                <w:w w:val="99"/>
              </w:rPr>
              <w:t>$</w:t>
            </w:r>
          </w:p>
        </w:tc>
        <w:tc>
          <w:tcPr>
            <w:tcW w:w="480" w:type="dxa"/>
            <w:vAlign w:val="bottom"/>
          </w:tcPr>
          <w:p w14:paraId="4E81948C" w14:textId="77777777" w:rsidR="009976F7" w:rsidRPr="00401EA3" w:rsidRDefault="009976F7">
            <w:pPr>
              <w:ind w:left="80"/>
            </w:pPr>
            <w:r w:rsidRPr="00401EA3">
              <w:rPr>
                <w:rFonts w:eastAsia="Times New Roman"/>
              </w:rPr>
              <w:t>200</w:t>
            </w:r>
          </w:p>
        </w:tc>
        <w:tc>
          <w:tcPr>
            <w:tcW w:w="640" w:type="dxa"/>
            <w:tcBorders>
              <w:right w:val="single" w:sz="8" w:space="0" w:color="auto"/>
            </w:tcBorders>
            <w:vAlign w:val="bottom"/>
          </w:tcPr>
          <w:p w14:paraId="5C2C8CDC" w14:textId="77777777" w:rsidR="009976F7" w:rsidRPr="00401EA3" w:rsidRDefault="009976F7" w:rsidP="000113B6">
            <w:pPr>
              <w:ind w:right="380"/>
            </w:pPr>
            <w:r w:rsidRPr="00401EA3">
              <w:rPr>
                <w:rFonts w:eastAsia="Times New Roman"/>
                <w:w w:val="99"/>
              </w:rPr>
              <w:t>$</w:t>
            </w:r>
          </w:p>
        </w:tc>
        <w:tc>
          <w:tcPr>
            <w:tcW w:w="30" w:type="dxa"/>
            <w:vAlign w:val="bottom"/>
          </w:tcPr>
          <w:p w14:paraId="3424B122" w14:textId="77777777" w:rsidR="009976F7" w:rsidRPr="00401EA3" w:rsidRDefault="009976F7"/>
        </w:tc>
      </w:tr>
      <w:tr w:rsidR="009976F7" w:rsidRPr="00401EA3" w14:paraId="6CDE9790" w14:textId="77777777" w:rsidTr="000113B6">
        <w:trPr>
          <w:trHeight w:val="334"/>
        </w:trPr>
        <w:tc>
          <w:tcPr>
            <w:tcW w:w="3000" w:type="dxa"/>
            <w:vMerge/>
            <w:tcBorders>
              <w:left w:val="single" w:sz="8" w:space="0" w:color="auto"/>
              <w:right w:val="single" w:sz="8" w:space="0" w:color="auto"/>
            </w:tcBorders>
            <w:vAlign w:val="bottom"/>
          </w:tcPr>
          <w:p w14:paraId="30C78F0F" w14:textId="44C748E7" w:rsidR="009976F7" w:rsidRPr="00401EA3" w:rsidRDefault="009976F7">
            <w:pPr>
              <w:ind w:left="120"/>
            </w:pPr>
          </w:p>
        </w:tc>
        <w:tc>
          <w:tcPr>
            <w:tcW w:w="1420" w:type="dxa"/>
            <w:tcBorders>
              <w:right w:val="single" w:sz="8" w:space="0" w:color="auto"/>
            </w:tcBorders>
            <w:vAlign w:val="bottom"/>
          </w:tcPr>
          <w:p w14:paraId="72C811AE" w14:textId="77777777" w:rsidR="009976F7" w:rsidRPr="00401EA3" w:rsidRDefault="009976F7"/>
        </w:tc>
        <w:tc>
          <w:tcPr>
            <w:tcW w:w="1420" w:type="dxa"/>
            <w:tcBorders>
              <w:right w:val="single" w:sz="8" w:space="0" w:color="auto"/>
            </w:tcBorders>
            <w:vAlign w:val="bottom"/>
          </w:tcPr>
          <w:p w14:paraId="005B3B3F" w14:textId="77777777" w:rsidR="009976F7" w:rsidRPr="00401EA3" w:rsidRDefault="009976F7"/>
        </w:tc>
        <w:tc>
          <w:tcPr>
            <w:tcW w:w="1140" w:type="dxa"/>
            <w:tcBorders>
              <w:right w:val="single" w:sz="8" w:space="0" w:color="auto"/>
            </w:tcBorders>
            <w:vAlign w:val="bottom"/>
          </w:tcPr>
          <w:p w14:paraId="46FC9D41" w14:textId="77777777" w:rsidR="009976F7" w:rsidRPr="00401EA3" w:rsidRDefault="009976F7"/>
        </w:tc>
        <w:tc>
          <w:tcPr>
            <w:tcW w:w="480" w:type="dxa"/>
            <w:vAlign w:val="bottom"/>
          </w:tcPr>
          <w:p w14:paraId="64299763" w14:textId="77777777" w:rsidR="009976F7" w:rsidRPr="00401EA3" w:rsidRDefault="009976F7"/>
        </w:tc>
        <w:tc>
          <w:tcPr>
            <w:tcW w:w="940" w:type="dxa"/>
            <w:tcBorders>
              <w:right w:val="single" w:sz="8" w:space="0" w:color="auto"/>
            </w:tcBorders>
            <w:vAlign w:val="bottom"/>
          </w:tcPr>
          <w:p w14:paraId="2AA191D9" w14:textId="77777777" w:rsidR="009976F7" w:rsidRPr="00401EA3" w:rsidRDefault="009976F7"/>
        </w:tc>
        <w:tc>
          <w:tcPr>
            <w:tcW w:w="480" w:type="dxa"/>
            <w:vAlign w:val="bottom"/>
          </w:tcPr>
          <w:p w14:paraId="1365065B" w14:textId="77777777" w:rsidR="009976F7" w:rsidRPr="00401EA3" w:rsidRDefault="009976F7"/>
        </w:tc>
        <w:tc>
          <w:tcPr>
            <w:tcW w:w="640" w:type="dxa"/>
            <w:tcBorders>
              <w:right w:val="single" w:sz="8" w:space="0" w:color="auto"/>
            </w:tcBorders>
            <w:vAlign w:val="bottom"/>
          </w:tcPr>
          <w:p w14:paraId="25B18057" w14:textId="77777777" w:rsidR="009976F7" w:rsidRPr="00401EA3" w:rsidRDefault="009976F7"/>
        </w:tc>
        <w:tc>
          <w:tcPr>
            <w:tcW w:w="30" w:type="dxa"/>
            <w:vAlign w:val="bottom"/>
          </w:tcPr>
          <w:p w14:paraId="259554B0" w14:textId="77777777" w:rsidR="009976F7" w:rsidRPr="00401EA3" w:rsidRDefault="009976F7"/>
        </w:tc>
      </w:tr>
      <w:tr w:rsidR="009976F7" w:rsidRPr="00401EA3" w14:paraId="48FFB553" w14:textId="77777777" w:rsidTr="000113B6">
        <w:trPr>
          <w:trHeight w:val="48"/>
        </w:trPr>
        <w:tc>
          <w:tcPr>
            <w:tcW w:w="3000" w:type="dxa"/>
            <w:vMerge/>
            <w:tcBorders>
              <w:left w:val="single" w:sz="8" w:space="0" w:color="auto"/>
              <w:bottom w:val="single" w:sz="8" w:space="0" w:color="auto"/>
              <w:right w:val="single" w:sz="8" w:space="0" w:color="auto"/>
            </w:tcBorders>
            <w:vAlign w:val="bottom"/>
          </w:tcPr>
          <w:p w14:paraId="32694EEC" w14:textId="77777777" w:rsidR="009976F7" w:rsidRPr="00401EA3" w:rsidRDefault="009976F7"/>
        </w:tc>
        <w:tc>
          <w:tcPr>
            <w:tcW w:w="1420" w:type="dxa"/>
            <w:tcBorders>
              <w:bottom w:val="single" w:sz="8" w:space="0" w:color="auto"/>
              <w:right w:val="single" w:sz="8" w:space="0" w:color="auto"/>
            </w:tcBorders>
            <w:vAlign w:val="bottom"/>
          </w:tcPr>
          <w:p w14:paraId="0D0584E3" w14:textId="77777777" w:rsidR="009976F7" w:rsidRPr="00401EA3" w:rsidRDefault="009976F7"/>
        </w:tc>
        <w:tc>
          <w:tcPr>
            <w:tcW w:w="1420" w:type="dxa"/>
            <w:tcBorders>
              <w:bottom w:val="single" w:sz="8" w:space="0" w:color="auto"/>
              <w:right w:val="single" w:sz="8" w:space="0" w:color="auto"/>
            </w:tcBorders>
            <w:vAlign w:val="bottom"/>
          </w:tcPr>
          <w:p w14:paraId="27C7A114" w14:textId="77777777" w:rsidR="009976F7" w:rsidRPr="00401EA3" w:rsidRDefault="009976F7"/>
        </w:tc>
        <w:tc>
          <w:tcPr>
            <w:tcW w:w="1140" w:type="dxa"/>
            <w:tcBorders>
              <w:bottom w:val="single" w:sz="8" w:space="0" w:color="auto"/>
              <w:right w:val="single" w:sz="8" w:space="0" w:color="auto"/>
            </w:tcBorders>
            <w:vAlign w:val="bottom"/>
          </w:tcPr>
          <w:p w14:paraId="307B40FA" w14:textId="77777777" w:rsidR="009976F7" w:rsidRPr="00401EA3" w:rsidRDefault="009976F7"/>
        </w:tc>
        <w:tc>
          <w:tcPr>
            <w:tcW w:w="480" w:type="dxa"/>
            <w:tcBorders>
              <w:bottom w:val="single" w:sz="8" w:space="0" w:color="auto"/>
            </w:tcBorders>
            <w:vAlign w:val="bottom"/>
          </w:tcPr>
          <w:p w14:paraId="03787FF4" w14:textId="77777777" w:rsidR="009976F7" w:rsidRPr="00401EA3" w:rsidRDefault="009976F7"/>
        </w:tc>
        <w:tc>
          <w:tcPr>
            <w:tcW w:w="940" w:type="dxa"/>
            <w:tcBorders>
              <w:bottom w:val="single" w:sz="8" w:space="0" w:color="auto"/>
              <w:right w:val="single" w:sz="8" w:space="0" w:color="auto"/>
            </w:tcBorders>
            <w:vAlign w:val="bottom"/>
          </w:tcPr>
          <w:p w14:paraId="40D171E8" w14:textId="77777777" w:rsidR="009976F7" w:rsidRPr="00401EA3" w:rsidRDefault="009976F7"/>
        </w:tc>
        <w:tc>
          <w:tcPr>
            <w:tcW w:w="480" w:type="dxa"/>
            <w:tcBorders>
              <w:bottom w:val="single" w:sz="8" w:space="0" w:color="auto"/>
            </w:tcBorders>
            <w:vAlign w:val="bottom"/>
          </w:tcPr>
          <w:p w14:paraId="3E0BA8F3" w14:textId="77777777" w:rsidR="009976F7" w:rsidRPr="00401EA3" w:rsidRDefault="009976F7"/>
        </w:tc>
        <w:tc>
          <w:tcPr>
            <w:tcW w:w="640" w:type="dxa"/>
            <w:tcBorders>
              <w:bottom w:val="single" w:sz="8" w:space="0" w:color="auto"/>
              <w:right w:val="single" w:sz="8" w:space="0" w:color="auto"/>
            </w:tcBorders>
            <w:vAlign w:val="bottom"/>
          </w:tcPr>
          <w:p w14:paraId="605D39AF" w14:textId="77777777" w:rsidR="009976F7" w:rsidRPr="00401EA3" w:rsidRDefault="009976F7"/>
        </w:tc>
        <w:tc>
          <w:tcPr>
            <w:tcW w:w="30" w:type="dxa"/>
            <w:vAlign w:val="bottom"/>
          </w:tcPr>
          <w:p w14:paraId="737ACC62" w14:textId="77777777" w:rsidR="009976F7" w:rsidRPr="00401EA3" w:rsidRDefault="009976F7"/>
        </w:tc>
      </w:tr>
      <w:tr w:rsidR="009976F7" w:rsidRPr="00401EA3" w14:paraId="1401EAF7" w14:textId="77777777" w:rsidTr="000113B6">
        <w:trPr>
          <w:trHeight w:val="268"/>
        </w:trPr>
        <w:tc>
          <w:tcPr>
            <w:tcW w:w="3000" w:type="dxa"/>
            <w:vMerge w:val="restart"/>
            <w:tcBorders>
              <w:left w:val="single" w:sz="8" w:space="0" w:color="auto"/>
              <w:right w:val="single" w:sz="8" w:space="0" w:color="auto"/>
            </w:tcBorders>
            <w:vAlign w:val="bottom"/>
          </w:tcPr>
          <w:p w14:paraId="02900817" w14:textId="77777777" w:rsidR="009976F7" w:rsidRPr="009976F7" w:rsidRDefault="009976F7" w:rsidP="009976F7">
            <w:pPr>
              <w:ind w:left="120"/>
              <w:rPr>
                <w:rFonts w:eastAsia="Times New Roman"/>
              </w:rPr>
            </w:pPr>
            <w:r w:rsidRPr="009976F7">
              <w:rPr>
                <w:rFonts w:eastAsia="Times New Roman"/>
              </w:rPr>
              <w:t>Doçentler</w:t>
            </w:r>
          </w:p>
          <w:p w14:paraId="6A92FE05" w14:textId="2ADC87BD" w:rsidR="009976F7" w:rsidRDefault="009976F7" w:rsidP="009976F7">
            <w:pPr>
              <w:ind w:left="120"/>
              <w:rPr>
                <w:rFonts w:eastAsia="Times New Roman"/>
              </w:rPr>
            </w:pPr>
            <w:r w:rsidRPr="009976F7">
              <w:rPr>
                <w:rFonts w:eastAsia="Times New Roman"/>
              </w:rPr>
              <w:t xml:space="preserve">Doktor Öğretim </w:t>
            </w:r>
            <w:r w:rsidRPr="009976F7">
              <w:rPr>
                <w:rFonts w:eastAsia="Times New Roman"/>
              </w:rPr>
              <w:t>Üyesi (</w:t>
            </w:r>
            <w:r w:rsidRPr="009976F7">
              <w:rPr>
                <w:rFonts w:eastAsia="Times New Roman"/>
              </w:rPr>
              <w:t>1)</w:t>
            </w:r>
          </w:p>
          <w:p w14:paraId="2427F158" w14:textId="77777777" w:rsidR="009976F7" w:rsidRPr="00401EA3" w:rsidRDefault="009976F7" w:rsidP="009976F7">
            <w:pPr>
              <w:ind w:left="120"/>
            </w:pPr>
            <w:r w:rsidRPr="00401EA3">
              <w:rPr>
                <w:rFonts w:eastAsia="Times New Roman"/>
              </w:rPr>
              <w:t>Genel Sekreter Yardımcıları</w:t>
            </w:r>
          </w:p>
          <w:p w14:paraId="2B627A30" w14:textId="77777777" w:rsidR="009976F7" w:rsidRDefault="009976F7" w:rsidP="009976F7">
            <w:pPr>
              <w:ind w:left="120"/>
              <w:rPr>
                <w:rFonts w:eastAsia="Times New Roman"/>
              </w:rPr>
            </w:pPr>
            <w:r w:rsidRPr="00401EA3">
              <w:rPr>
                <w:rFonts w:eastAsia="Times New Roman"/>
              </w:rPr>
              <w:t>Müdürler</w:t>
            </w:r>
          </w:p>
          <w:p w14:paraId="7BF64645" w14:textId="77777777" w:rsidR="009976F7" w:rsidRDefault="009976F7" w:rsidP="009976F7">
            <w:pPr>
              <w:ind w:left="120"/>
              <w:rPr>
                <w:rFonts w:eastAsia="Times New Roman"/>
              </w:rPr>
            </w:pPr>
            <w:r>
              <w:rPr>
                <w:rFonts w:eastAsia="Times New Roman"/>
              </w:rPr>
              <w:t xml:space="preserve">Kalite ve Strateji Geliştirme </w:t>
            </w:r>
            <w:proofErr w:type="spellStart"/>
            <w:r>
              <w:rPr>
                <w:rFonts w:eastAsia="Times New Roman"/>
              </w:rPr>
              <w:t>Koord</w:t>
            </w:r>
            <w:proofErr w:type="spellEnd"/>
            <w:r>
              <w:rPr>
                <w:rFonts w:eastAsia="Times New Roman"/>
              </w:rPr>
              <w:t>.</w:t>
            </w:r>
          </w:p>
          <w:p w14:paraId="14DC1662" w14:textId="31F2C62B" w:rsidR="009976F7" w:rsidRPr="00401EA3" w:rsidRDefault="009976F7" w:rsidP="009976F7">
            <w:pPr>
              <w:ind w:left="120"/>
            </w:pPr>
            <w:r>
              <w:rPr>
                <w:rFonts w:eastAsia="Times New Roman"/>
              </w:rPr>
              <w:t>Teknoloji transfer Ofisi Yöneticisi</w:t>
            </w:r>
          </w:p>
        </w:tc>
        <w:tc>
          <w:tcPr>
            <w:tcW w:w="1420" w:type="dxa"/>
            <w:tcBorders>
              <w:right w:val="single" w:sz="8" w:space="0" w:color="auto"/>
            </w:tcBorders>
            <w:vAlign w:val="bottom"/>
          </w:tcPr>
          <w:p w14:paraId="5A537049" w14:textId="77777777" w:rsidR="009976F7" w:rsidRPr="00401EA3" w:rsidRDefault="009976F7"/>
        </w:tc>
        <w:tc>
          <w:tcPr>
            <w:tcW w:w="1420" w:type="dxa"/>
            <w:tcBorders>
              <w:right w:val="single" w:sz="8" w:space="0" w:color="auto"/>
            </w:tcBorders>
            <w:vAlign w:val="bottom"/>
          </w:tcPr>
          <w:p w14:paraId="4E0793AF" w14:textId="77777777" w:rsidR="009976F7" w:rsidRPr="00401EA3" w:rsidRDefault="009976F7"/>
        </w:tc>
        <w:tc>
          <w:tcPr>
            <w:tcW w:w="1140" w:type="dxa"/>
            <w:tcBorders>
              <w:right w:val="single" w:sz="8" w:space="0" w:color="auto"/>
            </w:tcBorders>
            <w:vAlign w:val="bottom"/>
          </w:tcPr>
          <w:p w14:paraId="13B98162" w14:textId="77777777" w:rsidR="009976F7" w:rsidRPr="00401EA3" w:rsidRDefault="009976F7"/>
        </w:tc>
        <w:tc>
          <w:tcPr>
            <w:tcW w:w="480" w:type="dxa"/>
            <w:vAlign w:val="bottom"/>
          </w:tcPr>
          <w:p w14:paraId="4EA55A27" w14:textId="77777777" w:rsidR="009976F7" w:rsidRPr="00401EA3" w:rsidRDefault="009976F7"/>
        </w:tc>
        <w:tc>
          <w:tcPr>
            <w:tcW w:w="940" w:type="dxa"/>
            <w:tcBorders>
              <w:right w:val="single" w:sz="8" w:space="0" w:color="auto"/>
            </w:tcBorders>
            <w:vAlign w:val="bottom"/>
          </w:tcPr>
          <w:p w14:paraId="388063EF" w14:textId="77777777" w:rsidR="009976F7" w:rsidRPr="00401EA3" w:rsidRDefault="009976F7"/>
        </w:tc>
        <w:tc>
          <w:tcPr>
            <w:tcW w:w="480" w:type="dxa"/>
            <w:vAlign w:val="bottom"/>
          </w:tcPr>
          <w:p w14:paraId="30869287" w14:textId="77777777" w:rsidR="009976F7" w:rsidRPr="00401EA3" w:rsidRDefault="009976F7"/>
        </w:tc>
        <w:tc>
          <w:tcPr>
            <w:tcW w:w="640" w:type="dxa"/>
            <w:tcBorders>
              <w:right w:val="single" w:sz="8" w:space="0" w:color="auto"/>
            </w:tcBorders>
            <w:vAlign w:val="bottom"/>
          </w:tcPr>
          <w:p w14:paraId="35B0228E" w14:textId="77777777" w:rsidR="009976F7" w:rsidRPr="00401EA3" w:rsidRDefault="009976F7"/>
        </w:tc>
        <w:tc>
          <w:tcPr>
            <w:tcW w:w="30" w:type="dxa"/>
            <w:vAlign w:val="bottom"/>
          </w:tcPr>
          <w:p w14:paraId="412A6F70" w14:textId="77777777" w:rsidR="009976F7" w:rsidRPr="00401EA3" w:rsidRDefault="009976F7"/>
        </w:tc>
      </w:tr>
      <w:tr w:rsidR="009976F7" w:rsidRPr="00401EA3" w14:paraId="1F601E6B" w14:textId="77777777" w:rsidTr="009976F7">
        <w:trPr>
          <w:trHeight w:val="80"/>
        </w:trPr>
        <w:tc>
          <w:tcPr>
            <w:tcW w:w="3000" w:type="dxa"/>
            <w:vMerge/>
            <w:tcBorders>
              <w:left w:val="single" w:sz="8" w:space="0" w:color="auto"/>
              <w:right w:val="single" w:sz="8" w:space="0" w:color="auto"/>
            </w:tcBorders>
            <w:vAlign w:val="bottom"/>
          </w:tcPr>
          <w:p w14:paraId="289FBFF4" w14:textId="5F20A613" w:rsidR="009976F7" w:rsidRPr="00401EA3" w:rsidRDefault="009976F7" w:rsidP="009976F7">
            <w:pPr>
              <w:ind w:left="120"/>
            </w:pPr>
          </w:p>
        </w:tc>
        <w:tc>
          <w:tcPr>
            <w:tcW w:w="1420" w:type="dxa"/>
            <w:vMerge w:val="restart"/>
            <w:tcBorders>
              <w:right w:val="single" w:sz="8" w:space="0" w:color="auto"/>
            </w:tcBorders>
            <w:vAlign w:val="bottom"/>
          </w:tcPr>
          <w:p w14:paraId="1393AC4A" w14:textId="77777777" w:rsidR="009976F7" w:rsidRPr="00401EA3" w:rsidRDefault="009976F7">
            <w:pPr>
              <w:ind w:left="100"/>
            </w:pPr>
            <w:r w:rsidRPr="00401EA3">
              <w:rPr>
                <w:rFonts w:eastAsia="Times New Roman"/>
              </w:rPr>
              <w:t>3. Grup</w:t>
            </w:r>
          </w:p>
        </w:tc>
        <w:tc>
          <w:tcPr>
            <w:tcW w:w="1420" w:type="dxa"/>
            <w:vMerge w:val="restart"/>
            <w:tcBorders>
              <w:right w:val="single" w:sz="8" w:space="0" w:color="auto"/>
            </w:tcBorders>
            <w:vAlign w:val="bottom"/>
          </w:tcPr>
          <w:p w14:paraId="234552A6" w14:textId="1FA89697" w:rsidR="009976F7" w:rsidRPr="00401EA3" w:rsidRDefault="009976F7">
            <w:pPr>
              <w:ind w:left="100"/>
            </w:pPr>
            <w:r>
              <w:rPr>
                <w:rFonts w:eastAsia="Times New Roman"/>
              </w:rPr>
              <w:t>450</w:t>
            </w:r>
            <w:r w:rsidRPr="00401EA3">
              <w:rPr>
                <w:rFonts w:eastAsia="Times New Roman"/>
              </w:rPr>
              <w:t xml:space="preserve"> TL</w:t>
            </w:r>
          </w:p>
        </w:tc>
        <w:tc>
          <w:tcPr>
            <w:tcW w:w="1140" w:type="dxa"/>
            <w:vMerge w:val="restart"/>
            <w:tcBorders>
              <w:right w:val="single" w:sz="8" w:space="0" w:color="auto"/>
            </w:tcBorders>
            <w:vAlign w:val="bottom"/>
          </w:tcPr>
          <w:p w14:paraId="358073E3" w14:textId="445B157F" w:rsidR="009976F7" w:rsidRPr="00401EA3" w:rsidRDefault="009976F7">
            <w:pPr>
              <w:ind w:left="100"/>
            </w:pPr>
            <w:r>
              <w:rPr>
                <w:rFonts w:eastAsia="Times New Roman"/>
              </w:rPr>
              <w:t>500</w:t>
            </w:r>
            <w:r w:rsidRPr="00401EA3">
              <w:rPr>
                <w:rFonts w:eastAsia="Times New Roman"/>
              </w:rPr>
              <w:t xml:space="preserve"> TL</w:t>
            </w:r>
          </w:p>
        </w:tc>
        <w:tc>
          <w:tcPr>
            <w:tcW w:w="480" w:type="dxa"/>
            <w:vMerge w:val="restart"/>
            <w:vAlign w:val="bottom"/>
          </w:tcPr>
          <w:p w14:paraId="1BEA8D2E" w14:textId="77777777" w:rsidR="009976F7" w:rsidRPr="00401EA3" w:rsidRDefault="009976F7">
            <w:pPr>
              <w:ind w:left="80"/>
            </w:pPr>
            <w:r w:rsidRPr="00401EA3">
              <w:rPr>
                <w:rFonts w:eastAsia="Times New Roman"/>
              </w:rPr>
              <w:t>200</w:t>
            </w:r>
          </w:p>
        </w:tc>
        <w:tc>
          <w:tcPr>
            <w:tcW w:w="940" w:type="dxa"/>
            <w:vMerge w:val="restart"/>
            <w:tcBorders>
              <w:right w:val="single" w:sz="8" w:space="0" w:color="auto"/>
            </w:tcBorders>
            <w:vAlign w:val="bottom"/>
          </w:tcPr>
          <w:p w14:paraId="1036DCA7" w14:textId="77777777" w:rsidR="009976F7" w:rsidRPr="00401EA3" w:rsidRDefault="009976F7" w:rsidP="000113B6">
            <w:pPr>
              <w:ind w:right="680"/>
            </w:pPr>
            <w:r w:rsidRPr="00401EA3">
              <w:rPr>
                <w:rFonts w:eastAsia="Times New Roman"/>
                <w:w w:val="99"/>
              </w:rPr>
              <w:t>$</w:t>
            </w:r>
          </w:p>
        </w:tc>
        <w:tc>
          <w:tcPr>
            <w:tcW w:w="480" w:type="dxa"/>
            <w:vMerge w:val="restart"/>
            <w:vAlign w:val="bottom"/>
          </w:tcPr>
          <w:p w14:paraId="23BBBC53" w14:textId="77777777" w:rsidR="009976F7" w:rsidRPr="00401EA3" w:rsidRDefault="009976F7">
            <w:pPr>
              <w:ind w:left="80"/>
            </w:pPr>
            <w:r w:rsidRPr="00401EA3">
              <w:rPr>
                <w:rFonts w:eastAsia="Times New Roman"/>
              </w:rPr>
              <w:t>150</w:t>
            </w:r>
          </w:p>
        </w:tc>
        <w:tc>
          <w:tcPr>
            <w:tcW w:w="640" w:type="dxa"/>
            <w:vMerge w:val="restart"/>
            <w:tcBorders>
              <w:right w:val="single" w:sz="8" w:space="0" w:color="auto"/>
            </w:tcBorders>
            <w:vAlign w:val="bottom"/>
          </w:tcPr>
          <w:p w14:paraId="743484D4" w14:textId="77777777" w:rsidR="009976F7" w:rsidRPr="00401EA3" w:rsidRDefault="009976F7" w:rsidP="000113B6">
            <w:pPr>
              <w:ind w:right="380"/>
            </w:pPr>
            <w:r w:rsidRPr="00401EA3">
              <w:rPr>
                <w:rFonts w:eastAsia="Times New Roman"/>
                <w:w w:val="99"/>
              </w:rPr>
              <w:t>$</w:t>
            </w:r>
          </w:p>
        </w:tc>
        <w:tc>
          <w:tcPr>
            <w:tcW w:w="30" w:type="dxa"/>
            <w:vAlign w:val="bottom"/>
          </w:tcPr>
          <w:p w14:paraId="1DD8C090" w14:textId="77777777" w:rsidR="009976F7" w:rsidRPr="00401EA3" w:rsidRDefault="009976F7"/>
        </w:tc>
      </w:tr>
      <w:tr w:rsidR="009976F7" w:rsidRPr="00401EA3" w14:paraId="146933DE" w14:textId="77777777" w:rsidTr="009976F7">
        <w:trPr>
          <w:trHeight w:val="80"/>
        </w:trPr>
        <w:tc>
          <w:tcPr>
            <w:tcW w:w="3000" w:type="dxa"/>
            <w:vMerge/>
            <w:tcBorders>
              <w:left w:val="single" w:sz="8" w:space="0" w:color="auto"/>
              <w:right w:val="single" w:sz="8" w:space="0" w:color="auto"/>
            </w:tcBorders>
            <w:vAlign w:val="bottom"/>
          </w:tcPr>
          <w:p w14:paraId="457BBB00" w14:textId="2A1FA7DC" w:rsidR="009976F7" w:rsidRPr="00401EA3" w:rsidRDefault="009976F7" w:rsidP="009976F7">
            <w:pPr>
              <w:ind w:left="120"/>
            </w:pPr>
          </w:p>
        </w:tc>
        <w:tc>
          <w:tcPr>
            <w:tcW w:w="1420" w:type="dxa"/>
            <w:vMerge/>
            <w:tcBorders>
              <w:right w:val="single" w:sz="8" w:space="0" w:color="auto"/>
            </w:tcBorders>
            <w:vAlign w:val="bottom"/>
          </w:tcPr>
          <w:p w14:paraId="36C1B775" w14:textId="77777777" w:rsidR="009976F7" w:rsidRPr="00401EA3" w:rsidRDefault="009976F7"/>
        </w:tc>
        <w:tc>
          <w:tcPr>
            <w:tcW w:w="1420" w:type="dxa"/>
            <w:vMerge/>
            <w:tcBorders>
              <w:right w:val="single" w:sz="8" w:space="0" w:color="auto"/>
            </w:tcBorders>
            <w:vAlign w:val="bottom"/>
          </w:tcPr>
          <w:p w14:paraId="40A7CFC8" w14:textId="77777777" w:rsidR="009976F7" w:rsidRPr="00401EA3" w:rsidRDefault="009976F7"/>
        </w:tc>
        <w:tc>
          <w:tcPr>
            <w:tcW w:w="1140" w:type="dxa"/>
            <w:vMerge/>
            <w:tcBorders>
              <w:right w:val="single" w:sz="8" w:space="0" w:color="auto"/>
            </w:tcBorders>
            <w:vAlign w:val="bottom"/>
          </w:tcPr>
          <w:p w14:paraId="00DB020E" w14:textId="77777777" w:rsidR="009976F7" w:rsidRPr="00401EA3" w:rsidRDefault="009976F7"/>
        </w:tc>
        <w:tc>
          <w:tcPr>
            <w:tcW w:w="480" w:type="dxa"/>
            <w:vMerge/>
            <w:vAlign w:val="bottom"/>
          </w:tcPr>
          <w:p w14:paraId="6CEA70C1" w14:textId="77777777" w:rsidR="009976F7" w:rsidRPr="00401EA3" w:rsidRDefault="009976F7"/>
        </w:tc>
        <w:tc>
          <w:tcPr>
            <w:tcW w:w="940" w:type="dxa"/>
            <w:vMerge/>
            <w:tcBorders>
              <w:right w:val="single" w:sz="8" w:space="0" w:color="auto"/>
            </w:tcBorders>
            <w:vAlign w:val="bottom"/>
          </w:tcPr>
          <w:p w14:paraId="78F4999E" w14:textId="77777777" w:rsidR="009976F7" w:rsidRPr="00401EA3" w:rsidRDefault="009976F7"/>
        </w:tc>
        <w:tc>
          <w:tcPr>
            <w:tcW w:w="480" w:type="dxa"/>
            <w:vMerge/>
            <w:vAlign w:val="bottom"/>
          </w:tcPr>
          <w:p w14:paraId="5AB6315E" w14:textId="77777777" w:rsidR="009976F7" w:rsidRPr="00401EA3" w:rsidRDefault="009976F7"/>
        </w:tc>
        <w:tc>
          <w:tcPr>
            <w:tcW w:w="640" w:type="dxa"/>
            <w:vMerge/>
            <w:tcBorders>
              <w:right w:val="single" w:sz="8" w:space="0" w:color="auto"/>
            </w:tcBorders>
            <w:vAlign w:val="bottom"/>
          </w:tcPr>
          <w:p w14:paraId="1A90BD71" w14:textId="77777777" w:rsidR="009976F7" w:rsidRPr="00401EA3" w:rsidRDefault="009976F7"/>
        </w:tc>
        <w:tc>
          <w:tcPr>
            <w:tcW w:w="30" w:type="dxa"/>
            <w:vAlign w:val="bottom"/>
          </w:tcPr>
          <w:p w14:paraId="3DC046CE" w14:textId="77777777" w:rsidR="009976F7" w:rsidRPr="00401EA3" w:rsidRDefault="009976F7"/>
        </w:tc>
      </w:tr>
      <w:tr w:rsidR="009976F7" w:rsidRPr="00401EA3" w14:paraId="23CBE014" w14:textId="77777777" w:rsidTr="009976F7">
        <w:trPr>
          <w:trHeight w:val="80"/>
        </w:trPr>
        <w:tc>
          <w:tcPr>
            <w:tcW w:w="3000" w:type="dxa"/>
            <w:vMerge/>
            <w:tcBorders>
              <w:left w:val="single" w:sz="8" w:space="0" w:color="auto"/>
              <w:right w:val="single" w:sz="8" w:space="0" w:color="auto"/>
            </w:tcBorders>
            <w:vAlign w:val="bottom"/>
          </w:tcPr>
          <w:p w14:paraId="22F775C3" w14:textId="6D2C9DB8" w:rsidR="009976F7" w:rsidRPr="00401EA3" w:rsidRDefault="009976F7" w:rsidP="009976F7">
            <w:pPr>
              <w:ind w:left="120"/>
            </w:pPr>
          </w:p>
        </w:tc>
        <w:tc>
          <w:tcPr>
            <w:tcW w:w="1420" w:type="dxa"/>
            <w:tcBorders>
              <w:right w:val="single" w:sz="8" w:space="0" w:color="auto"/>
            </w:tcBorders>
            <w:vAlign w:val="bottom"/>
          </w:tcPr>
          <w:p w14:paraId="0A6D7077" w14:textId="77777777" w:rsidR="009976F7" w:rsidRPr="00401EA3" w:rsidRDefault="009976F7"/>
        </w:tc>
        <w:tc>
          <w:tcPr>
            <w:tcW w:w="1420" w:type="dxa"/>
            <w:tcBorders>
              <w:right w:val="single" w:sz="8" w:space="0" w:color="auto"/>
            </w:tcBorders>
            <w:vAlign w:val="bottom"/>
          </w:tcPr>
          <w:p w14:paraId="238048AB" w14:textId="77777777" w:rsidR="009976F7" w:rsidRPr="00401EA3" w:rsidRDefault="009976F7"/>
        </w:tc>
        <w:tc>
          <w:tcPr>
            <w:tcW w:w="1140" w:type="dxa"/>
            <w:tcBorders>
              <w:right w:val="single" w:sz="8" w:space="0" w:color="auto"/>
            </w:tcBorders>
            <w:vAlign w:val="bottom"/>
          </w:tcPr>
          <w:p w14:paraId="0B708DE2" w14:textId="77777777" w:rsidR="009976F7" w:rsidRPr="00401EA3" w:rsidRDefault="009976F7"/>
        </w:tc>
        <w:tc>
          <w:tcPr>
            <w:tcW w:w="480" w:type="dxa"/>
            <w:vAlign w:val="bottom"/>
          </w:tcPr>
          <w:p w14:paraId="77FFCEB2" w14:textId="77777777" w:rsidR="009976F7" w:rsidRPr="00401EA3" w:rsidRDefault="009976F7"/>
        </w:tc>
        <w:tc>
          <w:tcPr>
            <w:tcW w:w="940" w:type="dxa"/>
            <w:tcBorders>
              <w:right w:val="single" w:sz="8" w:space="0" w:color="auto"/>
            </w:tcBorders>
            <w:vAlign w:val="bottom"/>
          </w:tcPr>
          <w:p w14:paraId="2BA97A53" w14:textId="77777777" w:rsidR="009976F7" w:rsidRPr="00401EA3" w:rsidRDefault="009976F7"/>
        </w:tc>
        <w:tc>
          <w:tcPr>
            <w:tcW w:w="480" w:type="dxa"/>
            <w:vAlign w:val="bottom"/>
          </w:tcPr>
          <w:p w14:paraId="1FC69F24" w14:textId="77777777" w:rsidR="009976F7" w:rsidRPr="00401EA3" w:rsidRDefault="009976F7"/>
        </w:tc>
        <w:tc>
          <w:tcPr>
            <w:tcW w:w="640" w:type="dxa"/>
            <w:tcBorders>
              <w:right w:val="single" w:sz="8" w:space="0" w:color="auto"/>
            </w:tcBorders>
            <w:vAlign w:val="bottom"/>
          </w:tcPr>
          <w:p w14:paraId="21D3EB84" w14:textId="77777777" w:rsidR="009976F7" w:rsidRPr="00401EA3" w:rsidRDefault="009976F7"/>
        </w:tc>
        <w:tc>
          <w:tcPr>
            <w:tcW w:w="30" w:type="dxa"/>
            <w:vAlign w:val="bottom"/>
          </w:tcPr>
          <w:p w14:paraId="59FEECB6" w14:textId="77777777" w:rsidR="009976F7" w:rsidRPr="00401EA3" w:rsidRDefault="009976F7"/>
        </w:tc>
      </w:tr>
      <w:tr w:rsidR="009976F7" w:rsidRPr="00401EA3" w14:paraId="358A30AA" w14:textId="77777777" w:rsidTr="000113B6">
        <w:trPr>
          <w:trHeight w:val="374"/>
        </w:trPr>
        <w:tc>
          <w:tcPr>
            <w:tcW w:w="3000" w:type="dxa"/>
            <w:vMerge/>
            <w:tcBorders>
              <w:left w:val="single" w:sz="8" w:space="0" w:color="auto"/>
              <w:right w:val="single" w:sz="8" w:space="0" w:color="auto"/>
            </w:tcBorders>
            <w:vAlign w:val="bottom"/>
          </w:tcPr>
          <w:p w14:paraId="5F603090" w14:textId="0A953222" w:rsidR="009976F7" w:rsidRPr="00401EA3" w:rsidRDefault="009976F7" w:rsidP="009976F7">
            <w:pPr>
              <w:ind w:left="120"/>
            </w:pPr>
          </w:p>
        </w:tc>
        <w:tc>
          <w:tcPr>
            <w:tcW w:w="1420" w:type="dxa"/>
            <w:tcBorders>
              <w:right w:val="single" w:sz="8" w:space="0" w:color="auto"/>
            </w:tcBorders>
            <w:vAlign w:val="bottom"/>
          </w:tcPr>
          <w:p w14:paraId="0833E13A" w14:textId="77777777" w:rsidR="009976F7" w:rsidRPr="00401EA3" w:rsidRDefault="009976F7"/>
        </w:tc>
        <w:tc>
          <w:tcPr>
            <w:tcW w:w="1420" w:type="dxa"/>
            <w:tcBorders>
              <w:right w:val="single" w:sz="8" w:space="0" w:color="auto"/>
            </w:tcBorders>
            <w:vAlign w:val="bottom"/>
          </w:tcPr>
          <w:p w14:paraId="49542A8A" w14:textId="77777777" w:rsidR="009976F7" w:rsidRPr="00401EA3" w:rsidRDefault="009976F7"/>
        </w:tc>
        <w:tc>
          <w:tcPr>
            <w:tcW w:w="1140" w:type="dxa"/>
            <w:tcBorders>
              <w:right w:val="single" w:sz="8" w:space="0" w:color="auto"/>
            </w:tcBorders>
            <w:vAlign w:val="bottom"/>
          </w:tcPr>
          <w:p w14:paraId="3CF0BA03" w14:textId="77777777" w:rsidR="009976F7" w:rsidRPr="00401EA3" w:rsidRDefault="009976F7"/>
        </w:tc>
        <w:tc>
          <w:tcPr>
            <w:tcW w:w="480" w:type="dxa"/>
            <w:vAlign w:val="bottom"/>
          </w:tcPr>
          <w:p w14:paraId="7A1CE2AC" w14:textId="77777777" w:rsidR="009976F7" w:rsidRPr="00401EA3" w:rsidRDefault="009976F7"/>
        </w:tc>
        <w:tc>
          <w:tcPr>
            <w:tcW w:w="940" w:type="dxa"/>
            <w:tcBorders>
              <w:right w:val="single" w:sz="8" w:space="0" w:color="auto"/>
            </w:tcBorders>
            <w:vAlign w:val="bottom"/>
          </w:tcPr>
          <w:p w14:paraId="4130DBAB" w14:textId="77777777" w:rsidR="009976F7" w:rsidRPr="00401EA3" w:rsidRDefault="009976F7"/>
        </w:tc>
        <w:tc>
          <w:tcPr>
            <w:tcW w:w="480" w:type="dxa"/>
            <w:vAlign w:val="bottom"/>
          </w:tcPr>
          <w:p w14:paraId="0A67FA47" w14:textId="77777777" w:rsidR="009976F7" w:rsidRPr="00401EA3" w:rsidRDefault="009976F7"/>
        </w:tc>
        <w:tc>
          <w:tcPr>
            <w:tcW w:w="640" w:type="dxa"/>
            <w:tcBorders>
              <w:right w:val="single" w:sz="8" w:space="0" w:color="auto"/>
            </w:tcBorders>
            <w:vAlign w:val="bottom"/>
          </w:tcPr>
          <w:p w14:paraId="51F93063" w14:textId="77777777" w:rsidR="009976F7" w:rsidRPr="00401EA3" w:rsidRDefault="009976F7"/>
        </w:tc>
        <w:tc>
          <w:tcPr>
            <w:tcW w:w="30" w:type="dxa"/>
            <w:vAlign w:val="bottom"/>
          </w:tcPr>
          <w:p w14:paraId="5FC22173" w14:textId="77777777" w:rsidR="009976F7" w:rsidRPr="00401EA3" w:rsidRDefault="009976F7"/>
        </w:tc>
      </w:tr>
      <w:tr w:rsidR="009976F7" w:rsidRPr="00401EA3" w14:paraId="0DD17029" w14:textId="77777777" w:rsidTr="000113B6">
        <w:trPr>
          <w:trHeight w:val="48"/>
        </w:trPr>
        <w:tc>
          <w:tcPr>
            <w:tcW w:w="3000" w:type="dxa"/>
            <w:vMerge/>
            <w:tcBorders>
              <w:left w:val="single" w:sz="8" w:space="0" w:color="auto"/>
              <w:bottom w:val="single" w:sz="8" w:space="0" w:color="auto"/>
              <w:right w:val="single" w:sz="8" w:space="0" w:color="auto"/>
            </w:tcBorders>
            <w:vAlign w:val="bottom"/>
          </w:tcPr>
          <w:p w14:paraId="1179B537" w14:textId="77777777" w:rsidR="009976F7" w:rsidRPr="00401EA3" w:rsidRDefault="009976F7" w:rsidP="009976F7"/>
        </w:tc>
        <w:tc>
          <w:tcPr>
            <w:tcW w:w="1420" w:type="dxa"/>
            <w:tcBorders>
              <w:bottom w:val="single" w:sz="8" w:space="0" w:color="auto"/>
              <w:right w:val="single" w:sz="8" w:space="0" w:color="auto"/>
            </w:tcBorders>
            <w:vAlign w:val="bottom"/>
          </w:tcPr>
          <w:p w14:paraId="0529AF17" w14:textId="77777777" w:rsidR="009976F7" w:rsidRPr="00401EA3" w:rsidRDefault="009976F7"/>
        </w:tc>
        <w:tc>
          <w:tcPr>
            <w:tcW w:w="1420" w:type="dxa"/>
            <w:tcBorders>
              <w:bottom w:val="single" w:sz="8" w:space="0" w:color="auto"/>
              <w:right w:val="single" w:sz="8" w:space="0" w:color="auto"/>
            </w:tcBorders>
            <w:vAlign w:val="bottom"/>
          </w:tcPr>
          <w:p w14:paraId="2B2EA9FF" w14:textId="77777777" w:rsidR="009976F7" w:rsidRPr="00401EA3" w:rsidRDefault="009976F7"/>
        </w:tc>
        <w:tc>
          <w:tcPr>
            <w:tcW w:w="1140" w:type="dxa"/>
            <w:tcBorders>
              <w:bottom w:val="single" w:sz="8" w:space="0" w:color="auto"/>
              <w:right w:val="single" w:sz="8" w:space="0" w:color="auto"/>
            </w:tcBorders>
            <w:vAlign w:val="bottom"/>
          </w:tcPr>
          <w:p w14:paraId="383C6EA8" w14:textId="77777777" w:rsidR="009976F7" w:rsidRPr="00401EA3" w:rsidRDefault="009976F7"/>
        </w:tc>
        <w:tc>
          <w:tcPr>
            <w:tcW w:w="480" w:type="dxa"/>
            <w:tcBorders>
              <w:bottom w:val="single" w:sz="8" w:space="0" w:color="auto"/>
            </w:tcBorders>
            <w:vAlign w:val="bottom"/>
          </w:tcPr>
          <w:p w14:paraId="016E06C4" w14:textId="77777777" w:rsidR="009976F7" w:rsidRPr="00401EA3" w:rsidRDefault="009976F7"/>
        </w:tc>
        <w:tc>
          <w:tcPr>
            <w:tcW w:w="940" w:type="dxa"/>
            <w:tcBorders>
              <w:bottom w:val="single" w:sz="8" w:space="0" w:color="auto"/>
              <w:right w:val="single" w:sz="8" w:space="0" w:color="auto"/>
            </w:tcBorders>
            <w:vAlign w:val="bottom"/>
          </w:tcPr>
          <w:p w14:paraId="7506379C" w14:textId="77777777" w:rsidR="009976F7" w:rsidRPr="00401EA3" w:rsidRDefault="009976F7"/>
        </w:tc>
        <w:tc>
          <w:tcPr>
            <w:tcW w:w="480" w:type="dxa"/>
            <w:tcBorders>
              <w:bottom w:val="single" w:sz="8" w:space="0" w:color="auto"/>
            </w:tcBorders>
            <w:vAlign w:val="bottom"/>
          </w:tcPr>
          <w:p w14:paraId="0A905489" w14:textId="77777777" w:rsidR="009976F7" w:rsidRPr="00401EA3" w:rsidRDefault="009976F7"/>
        </w:tc>
        <w:tc>
          <w:tcPr>
            <w:tcW w:w="640" w:type="dxa"/>
            <w:tcBorders>
              <w:bottom w:val="single" w:sz="8" w:space="0" w:color="auto"/>
              <w:right w:val="single" w:sz="8" w:space="0" w:color="auto"/>
            </w:tcBorders>
            <w:vAlign w:val="bottom"/>
          </w:tcPr>
          <w:p w14:paraId="5E07CA55" w14:textId="77777777" w:rsidR="009976F7" w:rsidRPr="00401EA3" w:rsidRDefault="009976F7"/>
        </w:tc>
        <w:tc>
          <w:tcPr>
            <w:tcW w:w="30" w:type="dxa"/>
            <w:vAlign w:val="bottom"/>
          </w:tcPr>
          <w:p w14:paraId="6BEA126A" w14:textId="77777777" w:rsidR="009976F7" w:rsidRPr="00401EA3" w:rsidRDefault="009976F7"/>
        </w:tc>
      </w:tr>
      <w:tr w:rsidR="009976F7" w:rsidRPr="00401EA3" w14:paraId="26DF6E3F" w14:textId="77777777" w:rsidTr="000113B6">
        <w:trPr>
          <w:trHeight w:val="268"/>
        </w:trPr>
        <w:tc>
          <w:tcPr>
            <w:tcW w:w="3000" w:type="dxa"/>
            <w:vMerge w:val="restart"/>
            <w:tcBorders>
              <w:left w:val="single" w:sz="8" w:space="0" w:color="auto"/>
              <w:right w:val="single" w:sz="8" w:space="0" w:color="auto"/>
            </w:tcBorders>
            <w:vAlign w:val="bottom"/>
          </w:tcPr>
          <w:p w14:paraId="7C57109E" w14:textId="77777777" w:rsidR="009976F7" w:rsidRDefault="009976F7" w:rsidP="009976F7">
            <w:r>
              <w:t>Diğer Akademik Personel</w:t>
            </w:r>
          </w:p>
          <w:p w14:paraId="36B3E1E8" w14:textId="77777777" w:rsidR="009976F7" w:rsidRDefault="009976F7" w:rsidP="009976F7">
            <w:r>
              <w:t>Diğer İdari Personel</w:t>
            </w:r>
          </w:p>
          <w:p w14:paraId="36C88DEA" w14:textId="3FC654E6" w:rsidR="009976F7" w:rsidRPr="00401EA3" w:rsidRDefault="009976F7" w:rsidP="009976F7"/>
        </w:tc>
        <w:tc>
          <w:tcPr>
            <w:tcW w:w="1420" w:type="dxa"/>
            <w:vMerge w:val="restart"/>
            <w:tcBorders>
              <w:right w:val="single" w:sz="8" w:space="0" w:color="auto"/>
            </w:tcBorders>
            <w:vAlign w:val="bottom"/>
          </w:tcPr>
          <w:p w14:paraId="46F92C9D" w14:textId="77777777" w:rsidR="009976F7" w:rsidRPr="00401EA3" w:rsidRDefault="009976F7">
            <w:pPr>
              <w:ind w:left="100"/>
            </w:pPr>
            <w:r w:rsidRPr="00401EA3">
              <w:rPr>
                <w:rFonts w:eastAsia="Times New Roman"/>
              </w:rPr>
              <w:t>4. Grup</w:t>
            </w:r>
          </w:p>
        </w:tc>
        <w:tc>
          <w:tcPr>
            <w:tcW w:w="1420" w:type="dxa"/>
            <w:vMerge w:val="restart"/>
            <w:tcBorders>
              <w:right w:val="single" w:sz="8" w:space="0" w:color="auto"/>
            </w:tcBorders>
            <w:vAlign w:val="bottom"/>
          </w:tcPr>
          <w:p w14:paraId="60315E5F" w14:textId="1C9281D8" w:rsidR="009976F7" w:rsidRPr="00401EA3" w:rsidRDefault="009976F7">
            <w:pPr>
              <w:ind w:left="100"/>
            </w:pPr>
            <w:r>
              <w:rPr>
                <w:rFonts w:eastAsia="Times New Roman"/>
              </w:rPr>
              <w:t>400</w:t>
            </w:r>
            <w:r w:rsidRPr="00401EA3">
              <w:rPr>
                <w:rFonts w:eastAsia="Times New Roman"/>
              </w:rPr>
              <w:t xml:space="preserve"> TL</w:t>
            </w:r>
          </w:p>
        </w:tc>
        <w:tc>
          <w:tcPr>
            <w:tcW w:w="1140" w:type="dxa"/>
            <w:vMerge w:val="restart"/>
            <w:tcBorders>
              <w:right w:val="single" w:sz="8" w:space="0" w:color="auto"/>
            </w:tcBorders>
            <w:vAlign w:val="bottom"/>
          </w:tcPr>
          <w:p w14:paraId="60FE4C75" w14:textId="6F090453" w:rsidR="009976F7" w:rsidRPr="00401EA3" w:rsidRDefault="009976F7" w:rsidP="000113B6">
            <w:pPr>
              <w:ind w:left="100"/>
            </w:pPr>
            <w:r>
              <w:rPr>
                <w:rFonts w:eastAsia="Times New Roman"/>
              </w:rPr>
              <w:t>400</w:t>
            </w:r>
            <w:r w:rsidRPr="00401EA3">
              <w:rPr>
                <w:rFonts w:eastAsia="Times New Roman"/>
              </w:rPr>
              <w:t xml:space="preserve"> TL</w:t>
            </w:r>
          </w:p>
        </w:tc>
        <w:tc>
          <w:tcPr>
            <w:tcW w:w="480" w:type="dxa"/>
            <w:vMerge w:val="restart"/>
            <w:vAlign w:val="bottom"/>
          </w:tcPr>
          <w:p w14:paraId="16C81E91" w14:textId="77777777" w:rsidR="009976F7" w:rsidRPr="00401EA3" w:rsidRDefault="009976F7">
            <w:pPr>
              <w:ind w:left="80"/>
            </w:pPr>
            <w:r w:rsidRPr="00401EA3">
              <w:rPr>
                <w:rFonts w:eastAsia="Times New Roman"/>
              </w:rPr>
              <w:t>150</w:t>
            </w:r>
          </w:p>
        </w:tc>
        <w:tc>
          <w:tcPr>
            <w:tcW w:w="940" w:type="dxa"/>
            <w:vMerge w:val="restart"/>
            <w:tcBorders>
              <w:right w:val="single" w:sz="8" w:space="0" w:color="auto"/>
            </w:tcBorders>
            <w:vAlign w:val="bottom"/>
          </w:tcPr>
          <w:p w14:paraId="16495009" w14:textId="77777777" w:rsidR="009976F7" w:rsidRPr="00401EA3" w:rsidRDefault="009976F7" w:rsidP="000113B6">
            <w:pPr>
              <w:ind w:right="680"/>
            </w:pPr>
            <w:r w:rsidRPr="00401EA3">
              <w:rPr>
                <w:rFonts w:eastAsia="Times New Roman"/>
                <w:w w:val="99"/>
              </w:rPr>
              <w:t>$</w:t>
            </w:r>
          </w:p>
        </w:tc>
        <w:tc>
          <w:tcPr>
            <w:tcW w:w="480" w:type="dxa"/>
            <w:vMerge w:val="restart"/>
            <w:vAlign w:val="bottom"/>
          </w:tcPr>
          <w:p w14:paraId="159014F5" w14:textId="77777777" w:rsidR="009976F7" w:rsidRPr="00401EA3" w:rsidRDefault="009976F7">
            <w:pPr>
              <w:ind w:left="80"/>
            </w:pPr>
            <w:r w:rsidRPr="00401EA3">
              <w:rPr>
                <w:rFonts w:eastAsia="Times New Roman"/>
              </w:rPr>
              <w:t>100</w:t>
            </w:r>
          </w:p>
        </w:tc>
        <w:tc>
          <w:tcPr>
            <w:tcW w:w="640" w:type="dxa"/>
            <w:vMerge w:val="restart"/>
            <w:tcBorders>
              <w:right w:val="single" w:sz="8" w:space="0" w:color="auto"/>
            </w:tcBorders>
            <w:vAlign w:val="bottom"/>
          </w:tcPr>
          <w:p w14:paraId="5380AA82" w14:textId="77777777" w:rsidR="009976F7" w:rsidRPr="00401EA3" w:rsidRDefault="009976F7" w:rsidP="000113B6">
            <w:pPr>
              <w:ind w:right="380"/>
            </w:pPr>
            <w:r w:rsidRPr="00401EA3">
              <w:rPr>
                <w:rFonts w:eastAsia="Times New Roman"/>
                <w:w w:val="99"/>
              </w:rPr>
              <w:t>$</w:t>
            </w:r>
          </w:p>
        </w:tc>
        <w:tc>
          <w:tcPr>
            <w:tcW w:w="30" w:type="dxa"/>
            <w:vAlign w:val="bottom"/>
          </w:tcPr>
          <w:p w14:paraId="0A1A1D37" w14:textId="77777777" w:rsidR="009976F7" w:rsidRPr="00401EA3" w:rsidRDefault="009976F7"/>
        </w:tc>
      </w:tr>
      <w:tr w:rsidR="009976F7" w:rsidRPr="00401EA3" w14:paraId="0A1AE2DE" w14:textId="77777777" w:rsidTr="000113B6">
        <w:trPr>
          <w:trHeight w:val="163"/>
        </w:trPr>
        <w:tc>
          <w:tcPr>
            <w:tcW w:w="3000" w:type="dxa"/>
            <w:vMerge/>
            <w:tcBorders>
              <w:left w:val="single" w:sz="8" w:space="0" w:color="auto"/>
              <w:right w:val="single" w:sz="8" w:space="0" w:color="auto"/>
            </w:tcBorders>
            <w:vAlign w:val="bottom"/>
          </w:tcPr>
          <w:p w14:paraId="64952141" w14:textId="35FB8569" w:rsidR="009976F7" w:rsidRPr="00401EA3" w:rsidRDefault="009976F7">
            <w:pPr>
              <w:ind w:left="120"/>
            </w:pPr>
          </w:p>
        </w:tc>
        <w:tc>
          <w:tcPr>
            <w:tcW w:w="1420" w:type="dxa"/>
            <w:vMerge/>
            <w:tcBorders>
              <w:right w:val="single" w:sz="8" w:space="0" w:color="auto"/>
            </w:tcBorders>
            <w:vAlign w:val="bottom"/>
          </w:tcPr>
          <w:p w14:paraId="4829A78F" w14:textId="77777777" w:rsidR="009976F7" w:rsidRPr="00401EA3" w:rsidRDefault="009976F7"/>
        </w:tc>
        <w:tc>
          <w:tcPr>
            <w:tcW w:w="1420" w:type="dxa"/>
            <w:vMerge/>
            <w:tcBorders>
              <w:right w:val="single" w:sz="8" w:space="0" w:color="auto"/>
            </w:tcBorders>
            <w:vAlign w:val="bottom"/>
          </w:tcPr>
          <w:p w14:paraId="010DF6D7" w14:textId="77777777" w:rsidR="009976F7" w:rsidRPr="00401EA3" w:rsidRDefault="009976F7"/>
        </w:tc>
        <w:tc>
          <w:tcPr>
            <w:tcW w:w="1140" w:type="dxa"/>
            <w:vMerge/>
            <w:tcBorders>
              <w:right w:val="single" w:sz="8" w:space="0" w:color="auto"/>
            </w:tcBorders>
            <w:vAlign w:val="bottom"/>
          </w:tcPr>
          <w:p w14:paraId="0FC33A13" w14:textId="77777777" w:rsidR="009976F7" w:rsidRPr="00401EA3" w:rsidRDefault="009976F7"/>
        </w:tc>
        <w:tc>
          <w:tcPr>
            <w:tcW w:w="480" w:type="dxa"/>
            <w:vMerge/>
            <w:vAlign w:val="bottom"/>
          </w:tcPr>
          <w:p w14:paraId="4F97A592" w14:textId="77777777" w:rsidR="009976F7" w:rsidRPr="00401EA3" w:rsidRDefault="009976F7"/>
        </w:tc>
        <w:tc>
          <w:tcPr>
            <w:tcW w:w="940" w:type="dxa"/>
            <w:vMerge/>
            <w:tcBorders>
              <w:right w:val="single" w:sz="8" w:space="0" w:color="auto"/>
            </w:tcBorders>
            <w:vAlign w:val="bottom"/>
          </w:tcPr>
          <w:p w14:paraId="07B7C000" w14:textId="77777777" w:rsidR="009976F7" w:rsidRPr="00401EA3" w:rsidRDefault="009976F7"/>
        </w:tc>
        <w:tc>
          <w:tcPr>
            <w:tcW w:w="480" w:type="dxa"/>
            <w:vMerge/>
            <w:vAlign w:val="bottom"/>
          </w:tcPr>
          <w:p w14:paraId="2F4D75A6" w14:textId="77777777" w:rsidR="009976F7" w:rsidRPr="00401EA3" w:rsidRDefault="009976F7"/>
        </w:tc>
        <w:tc>
          <w:tcPr>
            <w:tcW w:w="640" w:type="dxa"/>
            <w:vMerge/>
            <w:tcBorders>
              <w:right w:val="single" w:sz="8" w:space="0" w:color="auto"/>
            </w:tcBorders>
            <w:vAlign w:val="bottom"/>
          </w:tcPr>
          <w:p w14:paraId="49A73D3E" w14:textId="77777777" w:rsidR="009976F7" w:rsidRPr="00401EA3" w:rsidRDefault="009976F7"/>
        </w:tc>
        <w:tc>
          <w:tcPr>
            <w:tcW w:w="30" w:type="dxa"/>
            <w:vAlign w:val="bottom"/>
          </w:tcPr>
          <w:p w14:paraId="2FE5487E" w14:textId="77777777" w:rsidR="009976F7" w:rsidRPr="00401EA3" w:rsidRDefault="009976F7"/>
        </w:tc>
      </w:tr>
      <w:tr w:rsidR="009976F7" w:rsidRPr="00401EA3" w14:paraId="5FF2130A" w14:textId="77777777" w:rsidTr="000113B6">
        <w:trPr>
          <w:trHeight w:val="156"/>
        </w:trPr>
        <w:tc>
          <w:tcPr>
            <w:tcW w:w="3000" w:type="dxa"/>
            <w:vMerge/>
            <w:tcBorders>
              <w:left w:val="single" w:sz="8" w:space="0" w:color="auto"/>
              <w:right w:val="single" w:sz="8" w:space="0" w:color="auto"/>
            </w:tcBorders>
            <w:vAlign w:val="bottom"/>
          </w:tcPr>
          <w:p w14:paraId="447E1100" w14:textId="77777777" w:rsidR="009976F7" w:rsidRPr="00401EA3" w:rsidRDefault="009976F7"/>
        </w:tc>
        <w:tc>
          <w:tcPr>
            <w:tcW w:w="1420" w:type="dxa"/>
            <w:tcBorders>
              <w:right w:val="single" w:sz="8" w:space="0" w:color="auto"/>
            </w:tcBorders>
            <w:vAlign w:val="bottom"/>
          </w:tcPr>
          <w:p w14:paraId="335F093D" w14:textId="77777777" w:rsidR="009976F7" w:rsidRPr="00401EA3" w:rsidRDefault="009976F7"/>
        </w:tc>
        <w:tc>
          <w:tcPr>
            <w:tcW w:w="1420" w:type="dxa"/>
            <w:tcBorders>
              <w:right w:val="single" w:sz="8" w:space="0" w:color="auto"/>
            </w:tcBorders>
            <w:vAlign w:val="bottom"/>
          </w:tcPr>
          <w:p w14:paraId="5FF233A3" w14:textId="77777777" w:rsidR="009976F7" w:rsidRPr="00401EA3" w:rsidRDefault="009976F7"/>
        </w:tc>
        <w:tc>
          <w:tcPr>
            <w:tcW w:w="1140" w:type="dxa"/>
            <w:tcBorders>
              <w:right w:val="single" w:sz="8" w:space="0" w:color="auto"/>
            </w:tcBorders>
            <w:vAlign w:val="bottom"/>
          </w:tcPr>
          <w:p w14:paraId="69B3E32E" w14:textId="77777777" w:rsidR="009976F7" w:rsidRPr="00401EA3" w:rsidRDefault="009976F7"/>
        </w:tc>
        <w:tc>
          <w:tcPr>
            <w:tcW w:w="480" w:type="dxa"/>
            <w:vAlign w:val="bottom"/>
          </w:tcPr>
          <w:p w14:paraId="351F5C4A" w14:textId="77777777" w:rsidR="009976F7" w:rsidRPr="00401EA3" w:rsidRDefault="009976F7"/>
        </w:tc>
        <w:tc>
          <w:tcPr>
            <w:tcW w:w="940" w:type="dxa"/>
            <w:tcBorders>
              <w:right w:val="single" w:sz="8" w:space="0" w:color="auto"/>
            </w:tcBorders>
            <w:vAlign w:val="bottom"/>
          </w:tcPr>
          <w:p w14:paraId="0F245109" w14:textId="77777777" w:rsidR="009976F7" w:rsidRPr="00401EA3" w:rsidRDefault="009976F7"/>
        </w:tc>
        <w:tc>
          <w:tcPr>
            <w:tcW w:w="480" w:type="dxa"/>
            <w:vAlign w:val="bottom"/>
          </w:tcPr>
          <w:p w14:paraId="7F458B0D" w14:textId="77777777" w:rsidR="009976F7" w:rsidRPr="00401EA3" w:rsidRDefault="009976F7"/>
        </w:tc>
        <w:tc>
          <w:tcPr>
            <w:tcW w:w="640" w:type="dxa"/>
            <w:tcBorders>
              <w:right w:val="single" w:sz="8" w:space="0" w:color="auto"/>
            </w:tcBorders>
            <w:vAlign w:val="bottom"/>
          </w:tcPr>
          <w:p w14:paraId="29F46830" w14:textId="77777777" w:rsidR="009976F7" w:rsidRPr="00401EA3" w:rsidRDefault="009976F7"/>
        </w:tc>
        <w:tc>
          <w:tcPr>
            <w:tcW w:w="30" w:type="dxa"/>
            <w:vAlign w:val="bottom"/>
          </w:tcPr>
          <w:p w14:paraId="204DB3A9" w14:textId="77777777" w:rsidR="009976F7" w:rsidRPr="00401EA3" w:rsidRDefault="009976F7"/>
        </w:tc>
      </w:tr>
      <w:tr w:rsidR="009976F7" w:rsidRPr="00401EA3" w14:paraId="6EC5A228" w14:textId="77777777" w:rsidTr="000113B6">
        <w:trPr>
          <w:trHeight w:val="56"/>
        </w:trPr>
        <w:tc>
          <w:tcPr>
            <w:tcW w:w="3000" w:type="dxa"/>
            <w:vMerge/>
            <w:tcBorders>
              <w:left w:val="single" w:sz="8" w:space="0" w:color="auto"/>
              <w:bottom w:val="single" w:sz="8" w:space="0" w:color="auto"/>
              <w:right w:val="single" w:sz="8" w:space="0" w:color="auto"/>
            </w:tcBorders>
            <w:vAlign w:val="bottom"/>
          </w:tcPr>
          <w:p w14:paraId="64D14CC2" w14:textId="77777777" w:rsidR="009976F7" w:rsidRPr="00401EA3" w:rsidRDefault="009976F7"/>
        </w:tc>
        <w:tc>
          <w:tcPr>
            <w:tcW w:w="1420" w:type="dxa"/>
            <w:tcBorders>
              <w:bottom w:val="single" w:sz="8" w:space="0" w:color="auto"/>
              <w:right w:val="single" w:sz="8" w:space="0" w:color="auto"/>
            </w:tcBorders>
            <w:vAlign w:val="bottom"/>
          </w:tcPr>
          <w:p w14:paraId="4C7A9E6B" w14:textId="77777777" w:rsidR="009976F7" w:rsidRPr="00401EA3" w:rsidRDefault="009976F7"/>
        </w:tc>
        <w:tc>
          <w:tcPr>
            <w:tcW w:w="1420" w:type="dxa"/>
            <w:tcBorders>
              <w:bottom w:val="single" w:sz="8" w:space="0" w:color="auto"/>
              <w:right w:val="single" w:sz="8" w:space="0" w:color="auto"/>
            </w:tcBorders>
            <w:vAlign w:val="bottom"/>
          </w:tcPr>
          <w:p w14:paraId="171C56F3" w14:textId="77777777" w:rsidR="009976F7" w:rsidRPr="00401EA3" w:rsidRDefault="009976F7"/>
        </w:tc>
        <w:tc>
          <w:tcPr>
            <w:tcW w:w="1140" w:type="dxa"/>
            <w:tcBorders>
              <w:bottom w:val="single" w:sz="8" w:space="0" w:color="auto"/>
              <w:right w:val="single" w:sz="8" w:space="0" w:color="auto"/>
            </w:tcBorders>
            <w:vAlign w:val="bottom"/>
          </w:tcPr>
          <w:p w14:paraId="35406738" w14:textId="77777777" w:rsidR="009976F7" w:rsidRPr="00401EA3" w:rsidRDefault="009976F7"/>
        </w:tc>
        <w:tc>
          <w:tcPr>
            <w:tcW w:w="480" w:type="dxa"/>
            <w:tcBorders>
              <w:bottom w:val="single" w:sz="8" w:space="0" w:color="auto"/>
            </w:tcBorders>
            <w:vAlign w:val="bottom"/>
          </w:tcPr>
          <w:p w14:paraId="02C49901" w14:textId="77777777" w:rsidR="009976F7" w:rsidRPr="00401EA3" w:rsidRDefault="009976F7"/>
        </w:tc>
        <w:tc>
          <w:tcPr>
            <w:tcW w:w="940" w:type="dxa"/>
            <w:tcBorders>
              <w:bottom w:val="single" w:sz="8" w:space="0" w:color="auto"/>
              <w:right w:val="single" w:sz="8" w:space="0" w:color="auto"/>
            </w:tcBorders>
            <w:vAlign w:val="bottom"/>
          </w:tcPr>
          <w:p w14:paraId="4B2E5DAE" w14:textId="77777777" w:rsidR="009976F7" w:rsidRPr="00401EA3" w:rsidRDefault="009976F7"/>
        </w:tc>
        <w:tc>
          <w:tcPr>
            <w:tcW w:w="480" w:type="dxa"/>
            <w:tcBorders>
              <w:bottom w:val="single" w:sz="8" w:space="0" w:color="auto"/>
            </w:tcBorders>
            <w:vAlign w:val="bottom"/>
          </w:tcPr>
          <w:p w14:paraId="4CCCBD65" w14:textId="77777777" w:rsidR="009976F7" w:rsidRPr="00401EA3" w:rsidRDefault="009976F7"/>
        </w:tc>
        <w:tc>
          <w:tcPr>
            <w:tcW w:w="640" w:type="dxa"/>
            <w:tcBorders>
              <w:bottom w:val="single" w:sz="8" w:space="0" w:color="auto"/>
              <w:right w:val="single" w:sz="8" w:space="0" w:color="auto"/>
            </w:tcBorders>
            <w:vAlign w:val="bottom"/>
          </w:tcPr>
          <w:p w14:paraId="658AACB9" w14:textId="77777777" w:rsidR="009976F7" w:rsidRPr="00401EA3" w:rsidRDefault="009976F7"/>
        </w:tc>
        <w:tc>
          <w:tcPr>
            <w:tcW w:w="30" w:type="dxa"/>
            <w:vAlign w:val="bottom"/>
          </w:tcPr>
          <w:p w14:paraId="141117AA" w14:textId="77777777" w:rsidR="009976F7" w:rsidRPr="00401EA3" w:rsidRDefault="009976F7"/>
        </w:tc>
      </w:tr>
    </w:tbl>
    <w:p w14:paraId="2EEACAB9" w14:textId="77777777" w:rsidR="00B1348C" w:rsidRPr="00401EA3" w:rsidRDefault="00B1348C">
      <w:pPr>
        <w:spacing w:line="324" w:lineRule="exact"/>
      </w:pPr>
    </w:p>
    <w:p w14:paraId="006FEE28" w14:textId="77777777" w:rsidR="00B1348C" w:rsidRPr="00401EA3" w:rsidRDefault="005C28D5">
      <w:pPr>
        <w:numPr>
          <w:ilvl w:val="0"/>
          <w:numId w:val="7"/>
        </w:numPr>
        <w:tabs>
          <w:tab w:val="left" w:pos="341"/>
        </w:tabs>
        <w:spacing w:line="264" w:lineRule="auto"/>
        <w:ind w:left="60" w:right="460" w:hanging="10"/>
        <w:rPr>
          <w:rFonts w:eastAsia="Times New Roman"/>
        </w:rPr>
      </w:pPr>
      <w:r w:rsidRPr="00401EA3">
        <w:rPr>
          <w:rFonts w:eastAsia="Times New Roman"/>
        </w:rPr>
        <w:t>22/2/2018 tarihli ve 7100 sayılı Kanun ile bu yönergede yer alan “yardımcı doçent” ibareleri “doktor öğretim üyesi” şeklinde değiştirilmiştir.</w:t>
      </w:r>
    </w:p>
    <w:p w14:paraId="61102AED" w14:textId="77777777" w:rsidR="00B1348C" w:rsidRPr="00401EA3" w:rsidRDefault="00B1348C">
      <w:pPr>
        <w:spacing w:line="335" w:lineRule="exact"/>
      </w:pPr>
    </w:p>
    <w:p w14:paraId="444BC15B" w14:textId="77777777" w:rsidR="00B1348C" w:rsidRPr="00401EA3" w:rsidRDefault="005C28D5">
      <w:pPr>
        <w:ind w:left="60"/>
      </w:pPr>
      <w:r w:rsidRPr="00401EA3">
        <w:rPr>
          <w:rFonts w:eastAsia="Times New Roman"/>
          <w:b/>
          <w:bCs/>
          <w:i/>
          <w:iCs/>
        </w:rPr>
        <w:t>*</w:t>
      </w:r>
      <w:r w:rsidRPr="00401EA3">
        <w:rPr>
          <w:rFonts w:eastAsia="Times New Roman"/>
        </w:rPr>
        <w:t xml:space="preserve">Etkinlik günündeki T.C. Merkez Bankası </w:t>
      </w:r>
      <w:proofErr w:type="gramStart"/>
      <w:r w:rsidRPr="00401EA3">
        <w:rPr>
          <w:rFonts w:eastAsia="Times New Roman"/>
        </w:rPr>
        <w:t>Dolar</w:t>
      </w:r>
      <w:proofErr w:type="gramEnd"/>
      <w:r w:rsidRPr="00401EA3">
        <w:rPr>
          <w:rFonts w:eastAsia="Times New Roman"/>
        </w:rPr>
        <w:t>/Avro paritesi üzerinden hesaplanır.</w:t>
      </w:r>
    </w:p>
    <w:p w14:paraId="29459DA5" w14:textId="77777777" w:rsidR="00B1348C" w:rsidRPr="00401EA3" w:rsidRDefault="00B1348C">
      <w:pPr>
        <w:spacing w:line="200" w:lineRule="exact"/>
      </w:pPr>
    </w:p>
    <w:p w14:paraId="6EBD97C2" w14:textId="77777777" w:rsidR="00B1348C" w:rsidRPr="00401EA3" w:rsidRDefault="00B1348C">
      <w:pPr>
        <w:spacing w:line="200" w:lineRule="exact"/>
      </w:pPr>
    </w:p>
    <w:p w14:paraId="7A73DEFD" w14:textId="77777777" w:rsidR="00B1348C" w:rsidRPr="00401EA3" w:rsidRDefault="00B1348C">
      <w:pPr>
        <w:spacing w:line="200" w:lineRule="exact"/>
      </w:pPr>
    </w:p>
    <w:p w14:paraId="4A3E974E" w14:textId="77777777" w:rsidR="00B1348C" w:rsidRPr="00401EA3" w:rsidRDefault="00B1348C">
      <w:pPr>
        <w:spacing w:line="200" w:lineRule="exact"/>
      </w:pPr>
    </w:p>
    <w:p w14:paraId="5E3F6DDD" w14:textId="77777777" w:rsidR="00B1348C" w:rsidRPr="00401EA3" w:rsidRDefault="00B1348C">
      <w:pPr>
        <w:spacing w:line="200" w:lineRule="exact"/>
      </w:pPr>
    </w:p>
    <w:p w14:paraId="4266B205" w14:textId="77777777" w:rsidR="00B1348C" w:rsidRPr="00401EA3" w:rsidRDefault="00B1348C">
      <w:pPr>
        <w:spacing w:line="200" w:lineRule="exact"/>
      </w:pPr>
    </w:p>
    <w:p w14:paraId="78C83185" w14:textId="77777777" w:rsidR="00B1348C" w:rsidRPr="00401EA3" w:rsidRDefault="00B1348C">
      <w:pPr>
        <w:spacing w:line="200" w:lineRule="exact"/>
      </w:pPr>
    </w:p>
    <w:p w14:paraId="3320B500" w14:textId="77777777" w:rsidR="00B1348C" w:rsidRPr="00401EA3" w:rsidRDefault="00B1348C">
      <w:pPr>
        <w:spacing w:line="200" w:lineRule="exact"/>
      </w:pPr>
    </w:p>
    <w:p w14:paraId="08CC9A3E" w14:textId="77777777" w:rsidR="00B1348C" w:rsidRPr="00401EA3" w:rsidRDefault="00B1348C">
      <w:pPr>
        <w:spacing w:line="200" w:lineRule="exact"/>
      </w:pPr>
    </w:p>
    <w:p w14:paraId="2C45FCD0" w14:textId="77777777" w:rsidR="00B1348C" w:rsidRPr="00401EA3" w:rsidRDefault="00B1348C">
      <w:pPr>
        <w:spacing w:line="200" w:lineRule="exact"/>
      </w:pPr>
    </w:p>
    <w:p w14:paraId="14008B8F" w14:textId="77777777" w:rsidR="00B1348C" w:rsidRPr="00401EA3" w:rsidRDefault="00B1348C">
      <w:pPr>
        <w:spacing w:line="200" w:lineRule="exact"/>
      </w:pPr>
    </w:p>
    <w:p w14:paraId="73F6B82D" w14:textId="77777777" w:rsidR="00B1348C" w:rsidRPr="00401EA3" w:rsidRDefault="00B1348C">
      <w:pPr>
        <w:spacing w:line="200" w:lineRule="exact"/>
      </w:pPr>
    </w:p>
    <w:p w14:paraId="5B047E46" w14:textId="77777777" w:rsidR="00B1348C" w:rsidRPr="00401EA3" w:rsidRDefault="00B1348C">
      <w:pPr>
        <w:spacing w:line="200" w:lineRule="exact"/>
      </w:pPr>
    </w:p>
    <w:p w14:paraId="566D1ADF" w14:textId="77777777" w:rsidR="00B1348C" w:rsidRPr="00401EA3" w:rsidRDefault="00B1348C">
      <w:pPr>
        <w:spacing w:line="200" w:lineRule="exact"/>
      </w:pPr>
    </w:p>
    <w:p w14:paraId="32ACB5E1" w14:textId="77777777" w:rsidR="00B1348C" w:rsidRPr="00401EA3" w:rsidRDefault="00B1348C">
      <w:pPr>
        <w:spacing w:line="200" w:lineRule="exact"/>
      </w:pPr>
    </w:p>
    <w:p w14:paraId="26CA3C8D" w14:textId="77777777" w:rsidR="00B1348C" w:rsidRPr="00401EA3" w:rsidRDefault="00B1348C">
      <w:pPr>
        <w:spacing w:line="200" w:lineRule="exact"/>
      </w:pPr>
    </w:p>
    <w:p w14:paraId="3781AF76" w14:textId="77777777" w:rsidR="00B1348C" w:rsidRPr="00401EA3" w:rsidRDefault="00B1348C">
      <w:pPr>
        <w:spacing w:line="200" w:lineRule="exact"/>
      </w:pPr>
    </w:p>
    <w:p w14:paraId="05350B3A" w14:textId="77777777" w:rsidR="00B1348C" w:rsidRPr="00401EA3" w:rsidRDefault="00B1348C">
      <w:pPr>
        <w:spacing w:line="200" w:lineRule="exact"/>
      </w:pPr>
    </w:p>
    <w:p w14:paraId="1185591C" w14:textId="77777777" w:rsidR="00B1348C" w:rsidRPr="00401EA3" w:rsidRDefault="00B1348C" w:rsidP="000113B6"/>
    <w:sectPr w:rsidR="00B1348C" w:rsidRPr="00401EA3" w:rsidSect="00C704F2">
      <w:pgSz w:w="11900" w:h="16838"/>
      <w:pgMar w:top="1274" w:right="701" w:bottom="219" w:left="1200" w:header="0" w:footer="0" w:gutter="0"/>
      <w:cols w:space="708" w:equalWidth="0">
        <w:col w:w="95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1FE9" w14:textId="77777777" w:rsidR="00CE0238" w:rsidRDefault="00CE0238" w:rsidP="001A683F">
      <w:r>
        <w:separator/>
      </w:r>
    </w:p>
  </w:endnote>
  <w:endnote w:type="continuationSeparator" w:id="0">
    <w:p w14:paraId="3DF4AB41" w14:textId="77777777" w:rsidR="00CE0238" w:rsidRDefault="00CE0238" w:rsidP="001A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C7F9" w14:textId="77777777" w:rsidR="001A683F" w:rsidRDefault="001A683F">
    <w:pPr>
      <w:pStyle w:val="AltBilgi"/>
    </w:pPr>
  </w:p>
  <w:p w14:paraId="200D8003" w14:textId="77777777" w:rsidR="001A683F" w:rsidRDefault="001A683F" w:rsidP="00C704F2">
    <w:pPr>
      <w:jc w:val="right"/>
      <w:rPr>
        <w:sz w:val="20"/>
        <w:szCs w:val="20"/>
      </w:rPr>
    </w:pPr>
    <w:r>
      <w:rPr>
        <w:rFonts w:eastAsia="Times New Roman"/>
        <w:sz w:val="20"/>
        <w:szCs w:val="20"/>
      </w:rPr>
      <w:t>Mütevelli K.T. / No: 26.04.2016/19</w:t>
    </w:r>
  </w:p>
  <w:p w14:paraId="40F4C3CA" w14:textId="77777777" w:rsidR="001A683F" w:rsidRDefault="001A683F" w:rsidP="00C704F2">
    <w:pPr>
      <w:spacing w:line="27" w:lineRule="exact"/>
      <w:jc w:val="right"/>
      <w:rPr>
        <w:sz w:val="24"/>
        <w:szCs w:val="24"/>
      </w:rPr>
    </w:pPr>
  </w:p>
  <w:p w14:paraId="0907E7EA" w14:textId="77777777" w:rsidR="001A683F" w:rsidRPr="001A683F" w:rsidRDefault="001A683F" w:rsidP="00C704F2">
    <w:pPr>
      <w:jc w:val="right"/>
      <w:rPr>
        <w:rFonts w:eastAsia="Times New Roman"/>
        <w:sz w:val="20"/>
        <w:szCs w:val="20"/>
      </w:rPr>
    </w:pPr>
    <w:r>
      <w:rPr>
        <w:rFonts w:eastAsia="Times New Roman"/>
        <w:sz w:val="20"/>
        <w:szCs w:val="20"/>
      </w:rPr>
      <w:t>Revizyon Mütevelli K.T. / No: 26.05.2016/20</w:t>
    </w:r>
  </w:p>
  <w:p w14:paraId="0F58B315" w14:textId="77777777" w:rsidR="001A683F" w:rsidRDefault="001A683F" w:rsidP="00C704F2">
    <w:pPr>
      <w:jc w:val="right"/>
      <w:rPr>
        <w:rFonts w:eastAsia="Times New Roman"/>
        <w:sz w:val="20"/>
        <w:szCs w:val="20"/>
      </w:rPr>
    </w:pPr>
    <w:r>
      <w:rPr>
        <w:rFonts w:eastAsia="Times New Roman"/>
        <w:sz w:val="20"/>
        <w:szCs w:val="20"/>
      </w:rPr>
      <w:t>24.03.2022/03</w:t>
    </w:r>
  </w:p>
  <w:p w14:paraId="58DAF383" w14:textId="49EC657F" w:rsidR="00162623" w:rsidRDefault="00162623" w:rsidP="00C704F2">
    <w:pPr>
      <w:jc w:val="right"/>
      <w:rPr>
        <w:rFonts w:eastAsia="Times New Roman"/>
        <w:sz w:val="20"/>
        <w:szCs w:val="20"/>
      </w:rPr>
    </w:pPr>
    <w:r>
      <w:rPr>
        <w:rFonts w:eastAsia="Times New Roman"/>
        <w:sz w:val="20"/>
        <w:szCs w:val="20"/>
      </w:rPr>
      <w:t>19.07.2022/08</w:t>
    </w:r>
  </w:p>
  <w:p w14:paraId="0CFE8604" w14:textId="547DF487" w:rsidR="001D43AB" w:rsidRDefault="001D43AB" w:rsidP="00C704F2">
    <w:pPr>
      <w:jc w:val="right"/>
      <w:rPr>
        <w:rFonts w:eastAsia="Times New Roman"/>
        <w:sz w:val="20"/>
        <w:szCs w:val="20"/>
      </w:rPr>
    </w:pPr>
    <w:r w:rsidRPr="001D43AB">
      <w:rPr>
        <w:rFonts w:eastAsia="Times New Roman"/>
        <w:sz w:val="20"/>
        <w:szCs w:val="20"/>
      </w:rPr>
      <w:t>19</w:t>
    </w:r>
    <w:r>
      <w:rPr>
        <w:rFonts w:eastAsia="Times New Roman"/>
        <w:sz w:val="20"/>
        <w:szCs w:val="20"/>
      </w:rPr>
      <w:t>.0</w:t>
    </w:r>
    <w:r w:rsidRPr="001D43AB">
      <w:rPr>
        <w:rFonts w:eastAsia="Times New Roman"/>
        <w:sz w:val="20"/>
        <w:szCs w:val="20"/>
      </w:rPr>
      <w:t>1</w:t>
    </w:r>
    <w:r>
      <w:rPr>
        <w:rFonts w:eastAsia="Times New Roman"/>
        <w:sz w:val="20"/>
        <w:szCs w:val="20"/>
      </w:rPr>
      <w:t>.</w:t>
    </w:r>
    <w:r w:rsidRPr="001D43AB">
      <w:rPr>
        <w:rFonts w:eastAsia="Times New Roman"/>
        <w:sz w:val="20"/>
        <w:szCs w:val="20"/>
      </w:rPr>
      <w:t>2023-01</w:t>
    </w:r>
  </w:p>
  <w:p w14:paraId="62BCBBFC" w14:textId="77777777" w:rsidR="00C704F2" w:rsidRDefault="00C704F2" w:rsidP="00C704F2">
    <w:pPr>
      <w:jc w:val="right"/>
      <w:rPr>
        <w:rFonts w:eastAsia="Times New Roman"/>
        <w:sz w:val="20"/>
        <w:szCs w:val="20"/>
      </w:rPr>
    </w:pPr>
  </w:p>
  <w:p w14:paraId="7D8492C0" w14:textId="77777777" w:rsidR="00C704F2" w:rsidRDefault="00C704F2" w:rsidP="00C704F2">
    <w:pPr>
      <w:jc w:val="right"/>
      <w:rPr>
        <w:rFonts w:eastAsia="Times New Roman"/>
        <w:sz w:val="20"/>
        <w:szCs w:val="20"/>
      </w:rPr>
    </w:pPr>
  </w:p>
  <w:p w14:paraId="61FED8A4" w14:textId="77777777" w:rsidR="00C704F2" w:rsidRPr="00C704F2" w:rsidRDefault="00C704F2" w:rsidP="00C704F2">
    <w:pP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3883" w14:textId="77777777" w:rsidR="00CE0238" w:rsidRDefault="00CE0238" w:rsidP="001A683F">
      <w:r>
        <w:separator/>
      </w:r>
    </w:p>
  </w:footnote>
  <w:footnote w:type="continuationSeparator" w:id="0">
    <w:p w14:paraId="631F12EF" w14:textId="77777777" w:rsidR="00CE0238" w:rsidRDefault="00CE0238" w:rsidP="001A6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1F29"/>
    <w:multiLevelType w:val="hybridMultilevel"/>
    <w:tmpl w:val="1C16FBE6"/>
    <w:lvl w:ilvl="0" w:tplc="4876501E">
      <w:start w:val="2"/>
      <w:numFmt w:val="decimal"/>
      <w:lvlText w:val="(%1)"/>
      <w:lvlJc w:val="left"/>
    </w:lvl>
    <w:lvl w:ilvl="1" w:tplc="18DE497E">
      <w:numFmt w:val="decimal"/>
      <w:lvlText w:val=""/>
      <w:lvlJc w:val="left"/>
    </w:lvl>
    <w:lvl w:ilvl="2" w:tplc="D0002CEE">
      <w:numFmt w:val="decimal"/>
      <w:lvlText w:val=""/>
      <w:lvlJc w:val="left"/>
    </w:lvl>
    <w:lvl w:ilvl="3" w:tplc="F09AF5AE">
      <w:numFmt w:val="decimal"/>
      <w:lvlText w:val=""/>
      <w:lvlJc w:val="left"/>
    </w:lvl>
    <w:lvl w:ilvl="4" w:tplc="AC665D68">
      <w:numFmt w:val="decimal"/>
      <w:lvlText w:val=""/>
      <w:lvlJc w:val="left"/>
    </w:lvl>
    <w:lvl w:ilvl="5" w:tplc="D0DAB614">
      <w:numFmt w:val="decimal"/>
      <w:lvlText w:val=""/>
      <w:lvlJc w:val="left"/>
    </w:lvl>
    <w:lvl w:ilvl="6" w:tplc="D5D036EE">
      <w:numFmt w:val="decimal"/>
      <w:lvlText w:val=""/>
      <w:lvlJc w:val="left"/>
    </w:lvl>
    <w:lvl w:ilvl="7" w:tplc="D8F8506A">
      <w:numFmt w:val="decimal"/>
      <w:lvlText w:val=""/>
      <w:lvlJc w:val="left"/>
    </w:lvl>
    <w:lvl w:ilvl="8" w:tplc="4A6A2984">
      <w:numFmt w:val="decimal"/>
      <w:lvlText w:val=""/>
      <w:lvlJc w:val="left"/>
    </w:lvl>
  </w:abstractNum>
  <w:abstractNum w:abstractNumId="1" w15:restartNumberingAfterBreak="0">
    <w:nsid w:val="2EB141F2"/>
    <w:multiLevelType w:val="hybridMultilevel"/>
    <w:tmpl w:val="4FACD8FC"/>
    <w:lvl w:ilvl="0" w:tplc="BBBCA964">
      <w:start w:val="2"/>
      <w:numFmt w:val="decimal"/>
      <w:lvlText w:val="(%1)"/>
      <w:lvlJc w:val="left"/>
    </w:lvl>
    <w:lvl w:ilvl="1" w:tplc="DC122F6E">
      <w:numFmt w:val="decimal"/>
      <w:lvlText w:val=""/>
      <w:lvlJc w:val="left"/>
    </w:lvl>
    <w:lvl w:ilvl="2" w:tplc="F3220B38">
      <w:numFmt w:val="decimal"/>
      <w:lvlText w:val=""/>
      <w:lvlJc w:val="left"/>
    </w:lvl>
    <w:lvl w:ilvl="3" w:tplc="E7A2BA76">
      <w:numFmt w:val="decimal"/>
      <w:lvlText w:val=""/>
      <w:lvlJc w:val="left"/>
    </w:lvl>
    <w:lvl w:ilvl="4" w:tplc="C3589F8C">
      <w:numFmt w:val="decimal"/>
      <w:lvlText w:val=""/>
      <w:lvlJc w:val="left"/>
    </w:lvl>
    <w:lvl w:ilvl="5" w:tplc="6C323268">
      <w:numFmt w:val="decimal"/>
      <w:lvlText w:val=""/>
      <w:lvlJc w:val="left"/>
    </w:lvl>
    <w:lvl w:ilvl="6" w:tplc="0D70EC12">
      <w:numFmt w:val="decimal"/>
      <w:lvlText w:val=""/>
      <w:lvlJc w:val="left"/>
    </w:lvl>
    <w:lvl w:ilvl="7" w:tplc="1C621FC8">
      <w:numFmt w:val="decimal"/>
      <w:lvlText w:val=""/>
      <w:lvlJc w:val="left"/>
    </w:lvl>
    <w:lvl w:ilvl="8" w:tplc="A8B254E4">
      <w:numFmt w:val="decimal"/>
      <w:lvlText w:val=""/>
      <w:lvlJc w:val="left"/>
    </w:lvl>
  </w:abstractNum>
  <w:abstractNum w:abstractNumId="2" w15:restartNumberingAfterBreak="0">
    <w:nsid w:val="3D1B58BA"/>
    <w:multiLevelType w:val="hybridMultilevel"/>
    <w:tmpl w:val="B34E3FE8"/>
    <w:lvl w:ilvl="0" w:tplc="156A0600">
      <w:start w:val="2"/>
      <w:numFmt w:val="decimal"/>
      <w:lvlText w:val="(%1)"/>
      <w:lvlJc w:val="left"/>
    </w:lvl>
    <w:lvl w:ilvl="1" w:tplc="AB847AF6">
      <w:numFmt w:val="decimal"/>
      <w:lvlText w:val=""/>
      <w:lvlJc w:val="left"/>
    </w:lvl>
    <w:lvl w:ilvl="2" w:tplc="A300E834">
      <w:numFmt w:val="decimal"/>
      <w:lvlText w:val=""/>
      <w:lvlJc w:val="left"/>
    </w:lvl>
    <w:lvl w:ilvl="3" w:tplc="DB167FCE">
      <w:numFmt w:val="decimal"/>
      <w:lvlText w:val=""/>
      <w:lvlJc w:val="left"/>
    </w:lvl>
    <w:lvl w:ilvl="4" w:tplc="7242A840">
      <w:numFmt w:val="decimal"/>
      <w:lvlText w:val=""/>
      <w:lvlJc w:val="left"/>
    </w:lvl>
    <w:lvl w:ilvl="5" w:tplc="219CD9E4">
      <w:numFmt w:val="decimal"/>
      <w:lvlText w:val=""/>
      <w:lvlJc w:val="left"/>
    </w:lvl>
    <w:lvl w:ilvl="6" w:tplc="89F28ECA">
      <w:numFmt w:val="decimal"/>
      <w:lvlText w:val=""/>
      <w:lvlJc w:val="left"/>
    </w:lvl>
    <w:lvl w:ilvl="7" w:tplc="485440A2">
      <w:numFmt w:val="decimal"/>
      <w:lvlText w:val=""/>
      <w:lvlJc w:val="left"/>
    </w:lvl>
    <w:lvl w:ilvl="8" w:tplc="F99A4A36">
      <w:numFmt w:val="decimal"/>
      <w:lvlText w:val=""/>
      <w:lvlJc w:val="left"/>
    </w:lvl>
  </w:abstractNum>
  <w:abstractNum w:abstractNumId="3" w15:restartNumberingAfterBreak="0">
    <w:nsid w:val="41B71EFB"/>
    <w:multiLevelType w:val="hybridMultilevel"/>
    <w:tmpl w:val="2A14CE94"/>
    <w:lvl w:ilvl="0" w:tplc="AC46A2DE">
      <w:start w:val="1"/>
      <w:numFmt w:val="decimal"/>
      <w:lvlText w:val="(%1)"/>
      <w:lvlJc w:val="left"/>
    </w:lvl>
    <w:lvl w:ilvl="1" w:tplc="9B2A02FE">
      <w:numFmt w:val="decimal"/>
      <w:lvlText w:val=""/>
      <w:lvlJc w:val="left"/>
    </w:lvl>
    <w:lvl w:ilvl="2" w:tplc="0FF45392">
      <w:numFmt w:val="decimal"/>
      <w:lvlText w:val=""/>
      <w:lvlJc w:val="left"/>
    </w:lvl>
    <w:lvl w:ilvl="3" w:tplc="9FBA3E16">
      <w:numFmt w:val="decimal"/>
      <w:lvlText w:val=""/>
      <w:lvlJc w:val="left"/>
    </w:lvl>
    <w:lvl w:ilvl="4" w:tplc="4A2E39B2">
      <w:numFmt w:val="decimal"/>
      <w:lvlText w:val=""/>
      <w:lvlJc w:val="left"/>
    </w:lvl>
    <w:lvl w:ilvl="5" w:tplc="CB74CBBC">
      <w:numFmt w:val="decimal"/>
      <w:lvlText w:val=""/>
      <w:lvlJc w:val="left"/>
    </w:lvl>
    <w:lvl w:ilvl="6" w:tplc="7C1814DA">
      <w:numFmt w:val="decimal"/>
      <w:lvlText w:val=""/>
      <w:lvlJc w:val="left"/>
    </w:lvl>
    <w:lvl w:ilvl="7" w:tplc="405C6A8C">
      <w:numFmt w:val="decimal"/>
      <w:lvlText w:val=""/>
      <w:lvlJc w:val="left"/>
    </w:lvl>
    <w:lvl w:ilvl="8" w:tplc="E68643EC">
      <w:numFmt w:val="decimal"/>
      <w:lvlText w:val=""/>
      <w:lvlJc w:val="left"/>
    </w:lvl>
  </w:abstractNum>
  <w:abstractNum w:abstractNumId="4" w15:restartNumberingAfterBreak="0">
    <w:nsid w:val="46E87CCD"/>
    <w:multiLevelType w:val="hybridMultilevel"/>
    <w:tmpl w:val="16E82DBE"/>
    <w:lvl w:ilvl="0" w:tplc="19E49F5E">
      <w:start w:val="2"/>
      <w:numFmt w:val="decimal"/>
      <w:lvlText w:val="(%1)"/>
      <w:lvlJc w:val="left"/>
    </w:lvl>
    <w:lvl w:ilvl="1" w:tplc="4A1CA8FA">
      <w:numFmt w:val="decimal"/>
      <w:lvlText w:val=""/>
      <w:lvlJc w:val="left"/>
    </w:lvl>
    <w:lvl w:ilvl="2" w:tplc="2E6A0758">
      <w:numFmt w:val="decimal"/>
      <w:lvlText w:val=""/>
      <w:lvlJc w:val="left"/>
    </w:lvl>
    <w:lvl w:ilvl="3" w:tplc="34D67B46">
      <w:numFmt w:val="decimal"/>
      <w:lvlText w:val=""/>
      <w:lvlJc w:val="left"/>
    </w:lvl>
    <w:lvl w:ilvl="4" w:tplc="9F56235A">
      <w:numFmt w:val="decimal"/>
      <w:lvlText w:val=""/>
      <w:lvlJc w:val="left"/>
    </w:lvl>
    <w:lvl w:ilvl="5" w:tplc="975C0BBC">
      <w:numFmt w:val="decimal"/>
      <w:lvlText w:val=""/>
      <w:lvlJc w:val="left"/>
    </w:lvl>
    <w:lvl w:ilvl="6" w:tplc="74AAFAF8">
      <w:numFmt w:val="decimal"/>
      <w:lvlText w:val=""/>
      <w:lvlJc w:val="left"/>
    </w:lvl>
    <w:lvl w:ilvl="7" w:tplc="C624DBCE">
      <w:numFmt w:val="decimal"/>
      <w:lvlText w:val=""/>
      <w:lvlJc w:val="left"/>
    </w:lvl>
    <w:lvl w:ilvl="8" w:tplc="30688E76">
      <w:numFmt w:val="decimal"/>
      <w:lvlText w:val=""/>
      <w:lvlJc w:val="left"/>
    </w:lvl>
  </w:abstractNum>
  <w:abstractNum w:abstractNumId="5" w15:restartNumberingAfterBreak="0">
    <w:nsid w:val="507ED7AB"/>
    <w:multiLevelType w:val="hybridMultilevel"/>
    <w:tmpl w:val="65DAB7F2"/>
    <w:lvl w:ilvl="0" w:tplc="48F8B0AE">
      <w:start w:val="2"/>
      <w:numFmt w:val="decimal"/>
      <w:lvlText w:val="(%1)"/>
      <w:lvlJc w:val="left"/>
    </w:lvl>
    <w:lvl w:ilvl="1" w:tplc="B862F8E4">
      <w:numFmt w:val="decimal"/>
      <w:lvlText w:val=""/>
      <w:lvlJc w:val="left"/>
    </w:lvl>
    <w:lvl w:ilvl="2" w:tplc="D654EA38">
      <w:numFmt w:val="decimal"/>
      <w:lvlText w:val=""/>
      <w:lvlJc w:val="left"/>
    </w:lvl>
    <w:lvl w:ilvl="3" w:tplc="F79EEF9E">
      <w:numFmt w:val="decimal"/>
      <w:lvlText w:val=""/>
      <w:lvlJc w:val="left"/>
    </w:lvl>
    <w:lvl w:ilvl="4" w:tplc="23AA9892">
      <w:numFmt w:val="decimal"/>
      <w:lvlText w:val=""/>
      <w:lvlJc w:val="left"/>
    </w:lvl>
    <w:lvl w:ilvl="5" w:tplc="A84C1C60">
      <w:numFmt w:val="decimal"/>
      <w:lvlText w:val=""/>
      <w:lvlJc w:val="left"/>
    </w:lvl>
    <w:lvl w:ilvl="6" w:tplc="0B8C5066">
      <w:numFmt w:val="decimal"/>
      <w:lvlText w:val=""/>
      <w:lvlJc w:val="left"/>
    </w:lvl>
    <w:lvl w:ilvl="7" w:tplc="CFC8A128">
      <w:numFmt w:val="decimal"/>
      <w:lvlText w:val=""/>
      <w:lvlJc w:val="left"/>
    </w:lvl>
    <w:lvl w:ilvl="8" w:tplc="1B6090CC">
      <w:numFmt w:val="decimal"/>
      <w:lvlText w:val=""/>
      <w:lvlJc w:val="left"/>
    </w:lvl>
  </w:abstractNum>
  <w:abstractNum w:abstractNumId="6" w15:restartNumberingAfterBreak="0">
    <w:nsid w:val="625558EC"/>
    <w:multiLevelType w:val="hybridMultilevel"/>
    <w:tmpl w:val="1B701924"/>
    <w:lvl w:ilvl="0" w:tplc="EAEC0E04">
      <w:start w:val="1"/>
      <w:numFmt w:val="lowerLetter"/>
      <w:lvlText w:val="%1)"/>
      <w:lvlJc w:val="left"/>
    </w:lvl>
    <w:lvl w:ilvl="1" w:tplc="FAB0D392">
      <w:numFmt w:val="decimal"/>
      <w:lvlText w:val=""/>
      <w:lvlJc w:val="left"/>
    </w:lvl>
    <w:lvl w:ilvl="2" w:tplc="1490307E">
      <w:numFmt w:val="decimal"/>
      <w:lvlText w:val=""/>
      <w:lvlJc w:val="left"/>
    </w:lvl>
    <w:lvl w:ilvl="3" w:tplc="A57C1E5C">
      <w:numFmt w:val="decimal"/>
      <w:lvlText w:val=""/>
      <w:lvlJc w:val="left"/>
    </w:lvl>
    <w:lvl w:ilvl="4" w:tplc="EF960BB6">
      <w:numFmt w:val="decimal"/>
      <w:lvlText w:val=""/>
      <w:lvlJc w:val="left"/>
    </w:lvl>
    <w:lvl w:ilvl="5" w:tplc="9F2E4A36">
      <w:numFmt w:val="decimal"/>
      <w:lvlText w:val=""/>
      <w:lvlJc w:val="left"/>
    </w:lvl>
    <w:lvl w:ilvl="6" w:tplc="762276C6">
      <w:numFmt w:val="decimal"/>
      <w:lvlText w:val=""/>
      <w:lvlJc w:val="left"/>
    </w:lvl>
    <w:lvl w:ilvl="7" w:tplc="FD068968">
      <w:numFmt w:val="decimal"/>
      <w:lvlText w:val=""/>
      <w:lvlJc w:val="left"/>
    </w:lvl>
    <w:lvl w:ilvl="8" w:tplc="CDE2CD22">
      <w:numFmt w:val="decimal"/>
      <w:lvlText w:val=""/>
      <w:lvlJc w:val="left"/>
    </w:lvl>
  </w:abstractNum>
  <w:num w:numId="1" w16cid:durableId="2036610523">
    <w:abstractNumId w:val="6"/>
  </w:num>
  <w:num w:numId="2" w16cid:durableId="373778219">
    <w:abstractNumId w:val="0"/>
  </w:num>
  <w:num w:numId="3" w16cid:durableId="1830057319">
    <w:abstractNumId w:val="4"/>
  </w:num>
  <w:num w:numId="4" w16cid:durableId="1784836627">
    <w:abstractNumId w:val="2"/>
  </w:num>
  <w:num w:numId="5" w16cid:durableId="979845249">
    <w:abstractNumId w:val="5"/>
  </w:num>
  <w:num w:numId="6" w16cid:durableId="1622761488">
    <w:abstractNumId w:val="1"/>
  </w:num>
  <w:num w:numId="7" w16cid:durableId="836112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8C"/>
    <w:rsid w:val="000113B6"/>
    <w:rsid w:val="00027A22"/>
    <w:rsid w:val="00162623"/>
    <w:rsid w:val="001A683F"/>
    <w:rsid w:val="001D43AB"/>
    <w:rsid w:val="00401EA3"/>
    <w:rsid w:val="005741D6"/>
    <w:rsid w:val="005B7567"/>
    <w:rsid w:val="005C28D5"/>
    <w:rsid w:val="00605118"/>
    <w:rsid w:val="00763848"/>
    <w:rsid w:val="009976F7"/>
    <w:rsid w:val="00B055FB"/>
    <w:rsid w:val="00B1348C"/>
    <w:rsid w:val="00C704F2"/>
    <w:rsid w:val="00CE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D3A59"/>
  <w15:docId w15:val="{9DDC48EC-4839-4ABB-A5D7-F1433FBB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83F"/>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683F"/>
    <w:pPr>
      <w:ind w:left="720"/>
      <w:contextualSpacing/>
    </w:pPr>
  </w:style>
  <w:style w:type="paragraph" w:styleId="stBilgi">
    <w:name w:val="header"/>
    <w:basedOn w:val="Normal"/>
    <w:link w:val="stBilgiChar"/>
    <w:uiPriority w:val="99"/>
    <w:unhideWhenUsed/>
    <w:rsid w:val="001A683F"/>
    <w:pPr>
      <w:tabs>
        <w:tab w:val="center" w:pos="4536"/>
        <w:tab w:val="right" w:pos="9072"/>
      </w:tabs>
    </w:pPr>
  </w:style>
  <w:style w:type="character" w:customStyle="1" w:styleId="stBilgiChar">
    <w:name w:val="Üst Bilgi Char"/>
    <w:basedOn w:val="VarsaylanParagrafYazTipi"/>
    <w:link w:val="stBilgi"/>
    <w:uiPriority w:val="99"/>
    <w:rsid w:val="001A683F"/>
  </w:style>
  <w:style w:type="paragraph" w:styleId="AltBilgi">
    <w:name w:val="footer"/>
    <w:basedOn w:val="Normal"/>
    <w:link w:val="AltBilgiChar"/>
    <w:uiPriority w:val="99"/>
    <w:unhideWhenUsed/>
    <w:rsid w:val="001A683F"/>
    <w:pPr>
      <w:tabs>
        <w:tab w:val="center" w:pos="4536"/>
        <w:tab w:val="right" w:pos="9072"/>
      </w:tabs>
    </w:pPr>
  </w:style>
  <w:style w:type="character" w:customStyle="1" w:styleId="AltBilgiChar">
    <w:name w:val="Alt Bilgi Char"/>
    <w:basedOn w:val="VarsaylanParagrafYazTipi"/>
    <w:link w:val="AltBilgi"/>
    <w:uiPriority w:val="99"/>
    <w:rsid w:val="001A6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03073-2A2C-4586-B10E-8AA475CB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1422</Words>
  <Characters>8111</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Pelin KAYA GÜNEŞER</cp:lastModifiedBy>
  <cp:revision>5</cp:revision>
  <cp:lastPrinted>2023-02-17T10:51:00Z</cp:lastPrinted>
  <dcterms:created xsi:type="dcterms:W3CDTF">2023-02-17T10:41:00Z</dcterms:created>
  <dcterms:modified xsi:type="dcterms:W3CDTF">2023-02-17T10:52:00Z</dcterms:modified>
</cp:coreProperties>
</file>